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31300" w14:textId="5EFE080E" w:rsidR="00EF58EE" w:rsidRPr="00EF58EE" w:rsidRDefault="00EF58EE" w:rsidP="00EF58EE">
      <w:pPr>
        <w:jc w:val="right"/>
      </w:pPr>
      <w:r>
        <w:rPr>
          <w:b/>
          <w:color w:val="FF0000"/>
        </w:rPr>
        <w:tab/>
      </w:r>
      <w:r w:rsidRPr="00EF58EE">
        <w:t>APPENDIX 'A'</w:t>
      </w:r>
    </w:p>
    <w:p w14:paraId="60989312" w14:textId="15B7F58E" w:rsidR="000463A8" w:rsidRPr="006C5B0D" w:rsidRDefault="006C5B0D" w:rsidP="006C5B0D">
      <w:pPr>
        <w:pStyle w:val="TitlePageSubTitle"/>
        <w:rPr>
          <w:b/>
          <w:color w:val="FF0000"/>
        </w:rPr>
      </w:pPr>
      <w:r w:rsidRPr="006C5B0D">
        <w:rPr>
          <w:b/>
          <w:color w:val="FF0000"/>
        </w:rPr>
        <w:t>DRAFT</w:t>
      </w:r>
      <w:r w:rsidR="00D72215">
        <w:rPr>
          <w:b/>
          <w:color w:val="FF0000"/>
        </w:rPr>
        <w:t xml:space="preserve"> </w:t>
      </w:r>
      <w:bookmarkStart w:id="0" w:name="_GoBack"/>
      <w:bookmarkEnd w:id="0"/>
    </w:p>
    <w:p w14:paraId="0C3B93E9" w14:textId="242E8341" w:rsidR="003A1F16" w:rsidRDefault="00D67246" w:rsidP="00271549">
      <w:pPr>
        <w:pStyle w:val="ProposalTitle"/>
        <w:spacing w:before="300"/>
      </w:pPr>
      <w:r>
        <w:t>FUNDING STRATEGY STATEMENT</w:t>
      </w:r>
    </w:p>
    <w:p w14:paraId="0C3B93EA" w14:textId="16C560AB" w:rsidR="003A1F16" w:rsidRPr="00AE7ACE" w:rsidRDefault="00EC55ED" w:rsidP="00D22540">
      <w:pPr>
        <w:pStyle w:val="TitlePageSubTitle"/>
      </w:pPr>
      <w:r>
        <w:t>Lancashire County Pension Fund</w:t>
      </w:r>
    </w:p>
    <w:p w14:paraId="0C3B93EB" w14:textId="680BADE0" w:rsidR="003A1F16" w:rsidRDefault="00CF52F4" w:rsidP="003A1F16">
      <w:pPr>
        <w:pStyle w:val="TitlePageDate"/>
      </w:pPr>
      <w:r>
        <w:t>march 2017</w:t>
      </w:r>
    </w:p>
    <w:p w14:paraId="0C3B93EC" w14:textId="1FA438B9" w:rsidR="003A1F16" w:rsidRDefault="00EC55ED" w:rsidP="003A1F16">
      <w:pPr>
        <w:pStyle w:val="ProposalSubtitle"/>
        <w:rPr>
          <w:rFonts w:ascii="Arial Bold" w:hAnsi="Arial Bold"/>
          <w:b/>
          <w:caps/>
        </w:rPr>
      </w:pPr>
      <w:r>
        <w:rPr>
          <w:rFonts w:ascii="Arial Bold" w:hAnsi="Arial Bold"/>
          <w:b/>
        </w:rPr>
        <w:t>Lancashire County Council</w:t>
      </w:r>
    </w:p>
    <w:p w14:paraId="1BF5AFDE" w14:textId="77777777" w:rsidR="006B2747" w:rsidRDefault="006B2747" w:rsidP="00FA57E7">
      <w:pPr>
        <w:pStyle w:val="DocumentText"/>
      </w:pPr>
    </w:p>
    <w:p w14:paraId="72E20AE8" w14:textId="77777777" w:rsidR="006B2747" w:rsidRDefault="006B2747" w:rsidP="006B2747">
      <w:pPr>
        <w:pStyle w:val="Legaltext0"/>
        <w:rPr>
          <w:rFonts w:ascii="Arial Bold" w:hAnsi="Arial Bold"/>
          <w:b/>
          <w:caps/>
        </w:rPr>
      </w:pPr>
    </w:p>
    <w:p w14:paraId="64C94B0F" w14:textId="77777777" w:rsidR="006B2747" w:rsidRDefault="006B2747" w:rsidP="006B2747">
      <w:pPr>
        <w:pStyle w:val="Legaltext0"/>
        <w:rPr>
          <w:rFonts w:ascii="Arial Bold" w:hAnsi="Arial Bold"/>
          <w:b/>
          <w:caps/>
        </w:rPr>
      </w:pPr>
    </w:p>
    <w:p w14:paraId="19516421" w14:textId="77777777" w:rsidR="006B2747" w:rsidRDefault="006B2747" w:rsidP="006B2747">
      <w:pPr>
        <w:pStyle w:val="Legaltext0"/>
        <w:rPr>
          <w:rFonts w:ascii="Arial Bold" w:hAnsi="Arial Bold"/>
          <w:b/>
          <w:caps/>
        </w:rPr>
      </w:pPr>
    </w:p>
    <w:p w14:paraId="627B0C1F" w14:textId="77777777" w:rsidR="006B2747" w:rsidRDefault="006B2747" w:rsidP="006B2747">
      <w:pPr>
        <w:pStyle w:val="Legaltext0"/>
        <w:rPr>
          <w:rFonts w:ascii="Arial Bold" w:hAnsi="Arial Bold"/>
          <w:b/>
          <w:caps/>
        </w:rPr>
      </w:pPr>
    </w:p>
    <w:p w14:paraId="258CDBB4" w14:textId="77777777" w:rsidR="006B2747" w:rsidRDefault="006B2747" w:rsidP="006B2747">
      <w:pPr>
        <w:pStyle w:val="Legaltext0"/>
        <w:rPr>
          <w:rFonts w:ascii="Arial Bold" w:hAnsi="Arial Bold"/>
          <w:b/>
          <w:caps/>
        </w:rPr>
      </w:pPr>
    </w:p>
    <w:p w14:paraId="27D54516" w14:textId="3CCFA75E" w:rsidR="006B2747" w:rsidRDefault="00762C4C" w:rsidP="006B2747">
      <w:pPr>
        <w:pStyle w:val="Legaltext0"/>
        <w:rPr>
          <w:rFonts w:ascii="Arial Bold" w:hAnsi="Arial Bold"/>
          <w:b/>
          <w:caps/>
        </w:rPr>
      </w:pPr>
      <w:r>
        <w:rPr>
          <w:rFonts w:ascii="Arial Bold" w:hAnsi="Arial Bold"/>
          <w:b/>
          <w:caps/>
        </w:rPr>
        <w:fldChar w:fldCharType="begin"/>
      </w:r>
      <w:r>
        <w:rPr>
          <w:rFonts w:ascii="Arial Bold" w:hAnsi="Arial Bold"/>
          <w:b/>
          <w:caps/>
        </w:rPr>
        <w:instrText xml:space="preserve">  </w:instrText>
      </w:r>
      <w:r>
        <w:rPr>
          <w:rFonts w:ascii="Arial Bold" w:hAnsi="Arial Bold"/>
          <w:b/>
          <w:caps/>
        </w:rPr>
        <w:fldChar w:fldCharType="end"/>
      </w:r>
    </w:p>
    <w:p w14:paraId="3BC8156A" w14:textId="77777777" w:rsidR="006B2747" w:rsidRDefault="006B2747" w:rsidP="006B2747">
      <w:pPr>
        <w:pStyle w:val="Legaltext0"/>
        <w:rPr>
          <w:rFonts w:ascii="Arial Bold" w:hAnsi="Arial Bold"/>
          <w:b/>
          <w:caps/>
        </w:rPr>
      </w:pPr>
    </w:p>
    <w:p w14:paraId="05EA54BC" w14:textId="77777777" w:rsidR="006B2747" w:rsidRDefault="006B2747" w:rsidP="006B2747">
      <w:pPr>
        <w:pStyle w:val="Legaltext0"/>
        <w:rPr>
          <w:rFonts w:ascii="Arial Bold" w:hAnsi="Arial Bold"/>
          <w:b/>
          <w:caps/>
        </w:rPr>
      </w:pPr>
    </w:p>
    <w:p w14:paraId="09C15FE1" w14:textId="77777777" w:rsidR="006B2747" w:rsidRDefault="006B2747" w:rsidP="006B2747">
      <w:pPr>
        <w:pStyle w:val="Legaltext0"/>
        <w:rPr>
          <w:rFonts w:ascii="Arial Bold" w:hAnsi="Arial Bold"/>
          <w:b/>
          <w:caps/>
        </w:rPr>
      </w:pPr>
    </w:p>
    <w:p w14:paraId="5A87FB53" w14:textId="77777777" w:rsidR="006B2747" w:rsidRDefault="006B2747" w:rsidP="006B2747">
      <w:pPr>
        <w:pStyle w:val="Legaltext0"/>
        <w:rPr>
          <w:rFonts w:ascii="Arial Bold" w:hAnsi="Arial Bold"/>
          <w:b/>
          <w:caps/>
        </w:rPr>
      </w:pPr>
    </w:p>
    <w:p w14:paraId="2DC18F06" w14:textId="77777777" w:rsidR="006B2747" w:rsidRDefault="006B2747" w:rsidP="006B2747">
      <w:pPr>
        <w:pStyle w:val="Legaltext0"/>
        <w:rPr>
          <w:rFonts w:ascii="Arial Bold" w:hAnsi="Arial Bold"/>
          <w:b/>
          <w:caps/>
        </w:rPr>
      </w:pPr>
    </w:p>
    <w:p w14:paraId="759893EC" w14:textId="77777777" w:rsidR="006B2747" w:rsidRDefault="006B2747" w:rsidP="006B2747">
      <w:pPr>
        <w:pStyle w:val="Legaltext0"/>
        <w:rPr>
          <w:rFonts w:ascii="Arial Bold" w:hAnsi="Arial Bold"/>
          <w:b/>
          <w:caps/>
        </w:rPr>
      </w:pPr>
    </w:p>
    <w:p w14:paraId="796FAE28" w14:textId="77777777" w:rsidR="006B2747" w:rsidRDefault="006B2747" w:rsidP="006B2747">
      <w:pPr>
        <w:pStyle w:val="Legaltext0"/>
        <w:rPr>
          <w:rFonts w:ascii="Arial Bold" w:hAnsi="Arial Bold"/>
          <w:b/>
          <w:caps/>
        </w:rPr>
      </w:pPr>
    </w:p>
    <w:p w14:paraId="4C792440" w14:textId="77777777" w:rsidR="006B2747" w:rsidRDefault="006B2747" w:rsidP="006B2747">
      <w:pPr>
        <w:pStyle w:val="Legaltext0"/>
        <w:rPr>
          <w:rFonts w:ascii="Arial Bold" w:hAnsi="Arial Bold"/>
          <w:b/>
          <w:caps/>
        </w:rPr>
      </w:pPr>
    </w:p>
    <w:p w14:paraId="5E707E7E" w14:textId="77777777" w:rsidR="006B2747" w:rsidRDefault="006B2747" w:rsidP="006B2747">
      <w:pPr>
        <w:pStyle w:val="Legaltext0"/>
        <w:rPr>
          <w:rFonts w:ascii="Arial Bold" w:hAnsi="Arial Bold"/>
          <w:b/>
          <w:caps/>
        </w:rPr>
      </w:pPr>
    </w:p>
    <w:p w14:paraId="1CB1A069" w14:textId="77777777" w:rsidR="006B2747" w:rsidRDefault="006B2747" w:rsidP="006B2747">
      <w:pPr>
        <w:pStyle w:val="Legaltext0"/>
        <w:rPr>
          <w:rFonts w:ascii="Arial Bold" w:hAnsi="Arial Bold"/>
          <w:b/>
          <w:caps/>
        </w:rPr>
      </w:pPr>
    </w:p>
    <w:p w14:paraId="6563A08D" w14:textId="77777777" w:rsidR="006B2747" w:rsidRDefault="006B2747" w:rsidP="006B2747">
      <w:pPr>
        <w:pStyle w:val="Legaltext0"/>
        <w:rPr>
          <w:rFonts w:ascii="Arial Bold" w:hAnsi="Arial Bold"/>
          <w:b/>
          <w:caps/>
        </w:rPr>
      </w:pPr>
    </w:p>
    <w:p w14:paraId="3A133B35" w14:textId="77777777" w:rsidR="006B2747" w:rsidRDefault="006B2747" w:rsidP="006B2747">
      <w:pPr>
        <w:pStyle w:val="Legaltext0"/>
        <w:rPr>
          <w:rFonts w:ascii="Arial Bold" w:hAnsi="Arial Bold"/>
          <w:b/>
          <w:caps/>
        </w:rPr>
      </w:pPr>
    </w:p>
    <w:p w14:paraId="0ED32F02" w14:textId="77777777" w:rsidR="006B2747" w:rsidRDefault="006B2747" w:rsidP="006B2747">
      <w:pPr>
        <w:pStyle w:val="Legaltext0"/>
        <w:rPr>
          <w:rFonts w:ascii="Arial Bold" w:hAnsi="Arial Bold"/>
          <w:b/>
          <w:caps/>
        </w:rPr>
      </w:pPr>
    </w:p>
    <w:p w14:paraId="56BF0F88" w14:textId="77777777" w:rsidR="006B2747" w:rsidRDefault="006B2747" w:rsidP="006B2747">
      <w:pPr>
        <w:pStyle w:val="Legaltext0"/>
        <w:rPr>
          <w:rFonts w:ascii="Arial Bold" w:hAnsi="Arial Bold"/>
          <w:b/>
          <w:caps/>
        </w:rPr>
      </w:pPr>
    </w:p>
    <w:p w14:paraId="7AC3A9E5" w14:textId="77777777" w:rsidR="006B2747" w:rsidRDefault="006B2747" w:rsidP="006B2747">
      <w:pPr>
        <w:pStyle w:val="Legaltext0"/>
        <w:rPr>
          <w:rFonts w:ascii="Arial Bold" w:hAnsi="Arial Bold"/>
          <w:b/>
          <w:caps/>
        </w:rPr>
      </w:pPr>
    </w:p>
    <w:p w14:paraId="3F59C00F" w14:textId="77777777" w:rsidR="006B2747" w:rsidRDefault="006B2747" w:rsidP="006B2747">
      <w:pPr>
        <w:pStyle w:val="Legaltext0"/>
        <w:rPr>
          <w:rFonts w:ascii="Arial Bold" w:hAnsi="Arial Bold"/>
          <w:b/>
          <w:caps/>
        </w:rPr>
      </w:pPr>
    </w:p>
    <w:p w14:paraId="7129E1AD" w14:textId="77777777" w:rsidR="006B2747" w:rsidRDefault="006B2747" w:rsidP="006B2747">
      <w:pPr>
        <w:pStyle w:val="Legaltext0"/>
        <w:rPr>
          <w:rFonts w:ascii="Arial Bold" w:hAnsi="Arial Bold"/>
          <w:b/>
          <w:caps/>
        </w:rPr>
      </w:pPr>
    </w:p>
    <w:p w14:paraId="6EC3AF11" w14:textId="77777777" w:rsidR="006B2747" w:rsidRDefault="006B2747" w:rsidP="006B2747">
      <w:pPr>
        <w:pStyle w:val="Legaltext0"/>
        <w:rPr>
          <w:rFonts w:ascii="Arial Bold" w:hAnsi="Arial Bold"/>
          <w:b/>
          <w:caps/>
        </w:rPr>
      </w:pPr>
    </w:p>
    <w:p w14:paraId="64201DBA" w14:textId="77777777" w:rsidR="006B2747" w:rsidRDefault="006B2747" w:rsidP="006B2747">
      <w:pPr>
        <w:pStyle w:val="Legaltext0"/>
        <w:rPr>
          <w:rFonts w:ascii="Arial Bold" w:hAnsi="Arial Bold"/>
          <w:b/>
          <w:caps/>
        </w:rPr>
      </w:pPr>
    </w:p>
    <w:p w14:paraId="3F2160D5" w14:textId="77777777" w:rsidR="006B2747" w:rsidRDefault="006B2747" w:rsidP="006B2747">
      <w:pPr>
        <w:pStyle w:val="Legaltext0"/>
        <w:rPr>
          <w:rFonts w:ascii="Arial Bold" w:hAnsi="Arial Bold"/>
          <w:b/>
          <w:caps/>
        </w:rPr>
      </w:pPr>
    </w:p>
    <w:p w14:paraId="7E8C934E" w14:textId="77777777" w:rsidR="006B2747" w:rsidRDefault="006B2747" w:rsidP="006B2747">
      <w:pPr>
        <w:pStyle w:val="Legaltext0"/>
        <w:rPr>
          <w:rFonts w:ascii="Arial Bold" w:hAnsi="Arial Bold"/>
          <w:b/>
          <w:caps/>
        </w:rPr>
      </w:pPr>
    </w:p>
    <w:p w14:paraId="71FC25EC" w14:textId="77777777" w:rsidR="006B2747" w:rsidRDefault="006B2747" w:rsidP="006B2747">
      <w:pPr>
        <w:pStyle w:val="Legaltext0"/>
        <w:rPr>
          <w:rFonts w:ascii="Arial Bold" w:hAnsi="Arial Bold"/>
          <w:b/>
          <w:caps/>
        </w:rPr>
      </w:pPr>
    </w:p>
    <w:p w14:paraId="7147C20C" w14:textId="77777777" w:rsidR="006B2747" w:rsidRDefault="006B2747" w:rsidP="006B2747">
      <w:pPr>
        <w:pStyle w:val="Legaltext0"/>
        <w:rPr>
          <w:rFonts w:ascii="Arial Bold" w:hAnsi="Arial Bold"/>
          <w:b/>
          <w:caps/>
        </w:rPr>
      </w:pPr>
    </w:p>
    <w:p w14:paraId="34DC1A3B" w14:textId="1AC4E46B" w:rsidR="00B01CB6" w:rsidRPr="00B0342C" w:rsidRDefault="006B2747" w:rsidP="00B0342C">
      <w:pPr>
        <w:pStyle w:val="Legaltext0"/>
        <w:rPr>
          <w:b/>
          <w:sz w:val="2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ectPr w:rsidR="00B01CB6" w:rsidRPr="00B0342C" w:rsidSect="004067BC">
          <w:pgSz w:w="11907" w:h="16839" w:code="9"/>
          <w:pgMar w:top="1134" w:right="1134" w:bottom="1134" w:left="1134" w:header="709" w:footer="709" w:gutter="0"/>
          <w:cols w:space="720"/>
          <w:docGrid w:linePitch="360"/>
        </w:sectPr>
      </w:pPr>
      <w:r w:rsidRPr="00FA57E7">
        <w:rPr>
          <w:b/>
          <w:sz w:val="2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This Funding Strategy Statement has been prepared by</w:t>
      </w:r>
      <w:r w:rsidR="0096415D">
        <w:rPr>
          <w:b/>
          <w:sz w:val="2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Lancashire County Council</w:t>
      </w:r>
      <w:r w:rsidRPr="00FA57E7">
        <w:rPr>
          <w:b/>
          <w:sz w:val="2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(the Administering Authority) to set out the funding strategy for the </w:t>
      </w:r>
      <w:r w:rsidR="0096415D" w:rsidRPr="0096415D">
        <w:rPr>
          <w:b/>
          <w:sz w:val="2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Lancashire County Pension Fund</w:t>
      </w:r>
      <w:r w:rsidR="001B4F39">
        <w:rPr>
          <w:b/>
          <w:sz w:val="2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6916F9">
        <w:rPr>
          <w:b/>
          <w:sz w:val="2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FA57E7">
        <w:rPr>
          <w:b/>
          <w:sz w:val="2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 </w:t>
      </w:r>
      <w:r w:rsidR="006916F9">
        <w:rPr>
          <w:b/>
          <w:sz w:val="2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177D13">
        <w:rPr>
          <w:b/>
          <w:sz w:val="2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Fund</w:t>
      </w:r>
      <w:r w:rsidRPr="00FA57E7">
        <w:rPr>
          <w:b/>
          <w:sz w:val="2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in accordance with Regulation 58 of the Local Government Pension Scheme Regulations 2013 (as amended) and guidance issued by the Chartered Institute of Public Finance and Accountancy (CIPFA).</w:t>
      </w:r>
      <w:r w:rsidR="00B0342C">
        <w:t xml:space="preserve"> </w:t>
      </w:r>
    </w:p>
    <w:p w14:paraId="0C3B93EE" w14:textId="208FE441" w:rsidR="0096232E" w:rsidRPr="00D26E80" w:rsidRDefault="00CE28F5" w:rsidP="00766F6C">
      <w:pPr>
        <w:pStyle w:val="SectionHeading"/>
      </w:pPr>
      <w:bookmarkStart w:id="1" w:name="_Toc453168460"/>
      <w:r w:rsidRPr="008950A5">
        <w:lastRenderedPageBreak/>
        <w:t>Executive Summary</w:t>
      </w:r>
      <w:bookmarkEnd w:id="1"/>
    </w:p>
    <w:p w14:paraId="29BECB07" w14:textId="19C2E849" w:rsidR="006A19F6" w:rsidRDefault="00D22540" w:rsidP="0096232E">
      <w:pPr>
        <w:rPr>
          <w:lang w:val="en-GB"/>
        </w:rPr>
      </w:pPr>
      <w:r>
        <w:rPr>
          <w:lang w:val="en-GB"/>
        </w:rPr>
        <w:t>Ensuring that the</w:t>
      </w:r>
      <w:r w:rsidR="0096415D">
        <w:rPr>
          <w:lang w:val="en-GB"/>
        </w:rPr>
        <w:t xml:space="preserve"> Lancashire County Pension Fund</w:t>
      </w:r>
      <w:r>
        <w:rPr>
          <w:lang w:val="en-GB"/>
        </w:rPr>
        <w:t xml:space="preserve"> (the “</w:t>
      </w:r>
      <w:r w:rsidR="00177D13">
        <w:rPr>
          <w:lang w:val="en-GB"/>
        </w:rPr>
        <w:t>Fund</w:t>
      </w:r>
      <w:r>
        <w:rPr>
          <w:lang w:val="en-GB"/>
        </w:rPr>
        <w:t>”) has sufficient assets to meet its pension liabilities in the long</w:t>
      </w:r>
      <w:r w:rsidR="00762C4C">
        <w:rPr>
          <w:lang w:val="en-GB"/>
        </w:rPr>
        <w:t xml:space="preserve"> </w:t>
      </w:r>
      <w:r>
        <w:rPr>
          <w:lang w:val="en-GB"/>
        </w:rPr>
        <w:t xml:space="preserve">term is the </w:t>
      </w:r>
      <w:r w:rsidR="00BC65D0">
        <w:rPr>
          <w:lang w:val="en-GB"/>
        </w:rPr>
        <w:t xml:space="preserve">fiduciary </w:t>
      </w:r>
      <w:r>
        <w:rPr>
          <w:lang w:val="en-GB"/>
        </w:rPr>
        <w:t xml:space="preserve">responsibility of the </w:t>
      </w:r>
      <w:r w:rsidR="006B520C">
        <w:rPr>
          <w:lang w:val="en-GB"/>
        </w:rPr>
        <w:t>Administering Authority</w:t>
      </w:r>
      <w:r w:rsidR="00870FDF">
        <w:rPr>
          <w:lang w:val="en-GB"/>
        </w:rPr>
        <w:t xml:space="preserve"> </w:t>
      </w:r>
      <w:r w:rsidR="009C18F3">
        <w:rPr>
          <w:lang w:val="en-GB"/>
        </w:rPr>
        <w:t>(</w:t>
      </w:r>
      <w:r w:rsidR="0096415D" w:rsidRPr="0096415D">
        <w:rPr>
          <w:lang w:val="en-GB"/>
        </w:rPr>
        <w:t>Lancashire County Council</w:t>
      </w:r>
      <w:r w:rsidR="009C18F3">
        <w:rPr>
          <w:lang w:val="en-GB"/>
        </w:rPr>
        <w:t>)</w:t>
      </w:r>
      <w:r>
        <w:rPr>
          <w:lang w:val="en-GB"/>
        </w:rPr>
        <w:t xml:space="preserve">. </w:t>
      </w:r>
      <w:r w:rsidR="006A19F6">
        <w:rPr>
          <w:lang w:val="en-GB"/>
        </w:rPr>
        <w:t xml:space="preserve">The Funding Strategy adopted by the </w:t>
      </w:r>
      <w:r w:rsidR="0096415D">
        <w:rPr>
          <w:lang w:val="en-GB"/>
        </w:rPr>
        <w:t>Lancashire County Pension Fund</w:t>
      </w:r>
      <w:r w:rsidR="006A19F6">
        <w:rPr>
          <w:lang w:val="en-GB"/>
        </w:rPr>
        <w:t xml:space="preserve"> will therefore be critical in achieving this.</w:t>
      </w:r>
    </w:p>
    <w:p w14:paraId="2E531B09" w14:textId="1CBDE8D3" w:rsidR="00D22540" w:rsidRDefault="00D22540" w:rsidP="0096232E">
      <w:pPr>
        <w:rPr>
          <w:lang w:val="en-GB"/>
        </w:rPr>
      </w:pPr>
      <w:r>
        <w:rPr>
          <w:lang w:val="en-GB"/>
        </w:rPr>
        <w:t xml:space="preserve">The purpose of this Funding Strategy Statement </w:t>
      </w:r>
      <w:r w:rsidR="00004830">
        <w:rPr>
          <w:lang w:val="en-GB"/>
        </w:rPr>
        <w:t xml:space="preserve">(“FSS”) </w:t>
      </w:r>
      <w:r>
        <w:rPr>
          <w:lang w:val="en-GB"/>
        </w:rPr>
        <w:t xml:space="preserve">is to set out a clear and transparent funding strategy that will identify how </w:t>
      </w:r>
      <w:r w:rsidR="00C32570">
        <w:rPr>
          <w:lang w:val="en-GB"/>
        </w:rPr>
        <w:t xml:space="preserve">each Fund </w:t>
      </w:r>
      <w:r>
        <w:rPr>
          <w:lang w:val="en-GB"/>
        </w:rPr>
        <w:t>employer’</w:t>
      </w:r>
      <w:r w:rsidR="00C32570">
        <w:rPr>
          <w:lang w:val="en-GB"/>
        </w:rPr>
        <w:t>s</w:t>
      </w:r>
      <w:r>
        <w:rPr>
          <w:lang w:val="en-GB"/>
        </w:rPr>
        <w:t xml:space="preserve"> pension liabilities are to be met going forward.</w:t>
      </w:r>
      <w:r w:rsidR="00C32570">
        <w:rPr>
          <w:lang w:val="en-GB"/>
        </w:rPr>
        <w:t xml:space="preserve">  </w:t>
      </w:r>
    </w:p>
    <w:p w14:paraId="6D0631BB" w14:textId="5E6C2889" w:rsidR="003C7B7B" w:rsidRDefault="00C32570" w:rsidP="00076B81">
      <w:pPr>
        <w:pStyle w:val="Quote"/>
      </w:pPr>
      <w:r>
        <w:t xml:space="preserve">The details contained in this Funding Strategy Statement will have a financial and operational impact on all participating employers in the </w:t>
      </w:r>
      <w:r w:rsidR="0096415D">
        <w:t>Lancashire County Pension Fund</w:t>
      </w:r>
      <w:r>
        <w:t xml:space="preserve">.  </w:t>
      </w:r>
    </w:p>
    <w:p w14:paraId="1163D66B" w14:textId="214D9717" w:rsidR="00076B81" w:rsidRDefault="00C32570" w:rsidP="00076B81">
      <w:pPr>
        <w:pStyle w:val="Quote"/>
      </w:pPr>
      <w:r>
        <w:t xml:space="preserve">It is imperative therefore that </w:t>
      </w:r>
      <w:r w:rsidR="006C564B">
        <w:t>each</w:t>
      </w:r>
      <w:r>
        <w:t xml:space="preserve"> </w:t>
      </w:r>
      <w:r w:rsidR="004F2D4C">
        <w:t>exist</w:t>
      </w:r>
      <w:r w:rsidR="00A908EF">
        <w:t xml:space="preserve">ing or potential </w:t>
      </w:r>
      <w:r>
        <w:t xml:space="preserve">employer </w:t>
      </w:r>
      <w:r w:rsidR="00A908EF">
        <w:t>is aware</w:t>
      </w:r>
      <w:r>
        <w:t xml:space="preserve"> </w:t>
      </w:r>
      <w:r w:rsidR="001362F6">
        <w:t xml:space="preserve">of </w:t>
      </w:r>
      <w:r>
        <w:t xml:space="preserve">the details contained in this statement.  </w:t>
      </w:r>
    </w:p>
    <w:p w14:paraId="1BF9E56E" w14:textId="42AD0E59" w:rsidR="00C32570" w:rsidRDefault="00076B81" w:rsidP="0096232E">
      <w:pPr>
        <w:rPr>
          <w:lang w:val="en-GB"/>
        </w:rPr>
      </w:pPr>
      <w:r>
        <w:rPr>
          <w:lang w:val="en-GB"/>
        </w:rPr>
        <w:t>Given this, and in ac</w:t>
      </w:r>
      <w:r w:rsidR="00C32570">
        <w:rPr>
          <w:lang w:val="en-GB"/>
        </w:rPr>
        <w:t>cord</w:t>
      </w:r>
      <w:r>
        <w:rPr>
          <w:lang w:val="en-GB"/>
        </w:rPr>
        <w:t>ance with governing legislation,</w:t>
      </w:r>
      <w:r w:rsidR="00C32570">
        <w:rPr>
          <w:lang w:val="en-GB"/>
        </w:rPr>
        <w:t xml:space="preserve"> all interested parties connected with the </w:t>
      </w:r>
      <w:r w:rsidR="0096415D">
        <w:rPr>
          <w:lang w:val="en-GB"/>
        </w:rPr>
        <w:t>Lancashire County Pension Fund</w:t>
      </w:r>
      <w:r w:rsidR="00C32570">
        <w:rPr>
          <w:lang w:val="en-GB"/>
        </w:rPr>
        <w:t xml:space="preserve"> have been consulted </w:t>
      </w:r>
      <w:r w:rsidR="00452BB0">
        <w:rPr>
          <w:lang w:val="en-GB"/>
        </w:rPr>
        <w:t>and given opportunity to comment prior to this Funding Strategy Statement being finalised and adopted.</w:t>
      </w:r>
      <w:r w:rsidR="00467122">
        <w:rPr>
          <w:lang w:val="en-GB"/>
        </w:rPr>
        <w:t xml:space="preserve">   This statement takes into </w:t>
      </w:r>
      <w:r w:rsidR="004E58EA" w:rsidRPr="004E58EA">
        <w:rPr>
          <w:lang w:val="en-GB"/>
        </w:rPr>
        <w:t xml:space="preserve">consideration </w:t>
      </w:r>
      <w:r w:rsidR="00467122">
        <w:rPr>
          <w:lang w:val="en-GB"/>
        </w:rPr>
        <w:t>all comments and feedback received.</w:t>
      </w:r>
    </w:p>
    <w:p w14:paraId="69C52B12" w14:textId="0B66E8D8" w:rsidR="008C6FD5" w:rsidRDefault="001028FE" w:rsidP="00055030">
      <w:pPr>
        <w:pStyle w:val="Heading10"/>
        <w:rPr>
          <w:lang w:val="en-GB"/>
        </w:rPr>
      </w:pPr>
      <w:r w:rsidRPr="001028FE">
        <w:rPr>
          <w:noProof/>
          <w:lang w:val="en-GB" w:eastAsia="en-GB"/>
        </w:rPr>
        <mc:AlternateContent>
          <mc:Choice Requires="wpg">
            <w:drawing>
              <wp:anchor distT="0" distB="0" distL="114300" distR="114300" simplePos="0" relativeHeight="251659264" behindDoc="1" locked="0" layoutInCell="1" allowOverlap="1" wp14:anchorId="3DE62AA3" wp14:editId="037DFE19">
                <wp:simplePos x="0" y="0"/>
                <wp:positionH relativeFrom="column">
                  <wp:posOffset>-31750</wp:posOffset>
                </wp:positionH>
                <wp:positionV relativeFrom="paragraph">
                  <wp:posOffset>151130</wp:posOffset>
                </wp:positionV>
                <wp:extent cx="560705" cy="563880"/>
                <wp:effectExtent l="0" t="0" r="0" b="7620"/>
                <wp:wrapSquare wrapText="bothSides"/>
                <wp:docPr id="62" name="Group 61"/>
                <wp:cNvGraphicFramePr/>
                <a:graphic xmlns:a="http://schemas.openxmlformats.org/drawingml/2006/main">
                  <a:graphicData uri="http://schemas.microsoft.com/office/word/2010/wordprocessingGroup">
                    <wpg:wgp>
                      <wpg:cNvGrpSpPr/>
                      <wpg:grpSpPr>
                        <a:xfrm>
                          <a:off x="0" y="0"/>
                          <a:ext cx="560705" cy="563880"/>
                          <a:chOff x="0" y="0"/>
                          <a:chExt cx="330201" cy="300038"/>
                        </a:xfrm>
                        <a:solidFill>
                          <a:srgbClr val="CE3D95"/>
                        </a:solidFill>
                      </wpg:grpSpPr>
                      <wps:wsp>
                        <wps:cNvPr id="2" name="Rectangle 2"/>
                        <wps:cNvSpPr>
                          <a:spLocks noChangeArrowheads="1"/>
                        </wps:cNvSpPr>
                        <wps:spPr bwMode="auto">
                          <a:xfrm>
                            <a:off x="19050" y="234950"/>
                            <a:ext cx="61913" cy="6508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 name="Rectangle 3"/>
                        <wps:cNvSpPr>
                          <a:spLocks noChangeArrowheads="1"/>
                        </wps:cNvSpPr>
                        <wps:spPr bwMode="auto">
                          <a:xfrm>
                            <a:off x="101600" y="195263"/>
                            <a:ext cx="61913" cy="10477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 name="Rectangle 4"/>
                        <wps:cNvSpPr>
                          <a:spLocks noChangeArrowheads="1"/>
                        </wps:cNvSpPr>
                        <wps:spPr bwMode="auto">
                          <a:xfrm>
                            <a:off x="185738" y="153988"/>
                            <a:ext cx="61913" cy="1460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Rectangle 5"/>
                        <wps:cNvSpPr>
                          <a:spLocks noChangeArrowheads="1"/>
                        </wps:cNvSpPr>
                        <wps:spPr bwMode="auto">
                          <a:xfrm>
                            <a:off x="268288" y="111125"/>
                            <a:ext cx="61913" cy="18891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0" y="0"/>
                            <a:ext cx="330200" cy="195263"/>
                          </a:xfrm>
                          <a:custGeom>
                            <a:avLst/>
                            <a:gdLst>
                              <a:gd name="T0" fmla="*/ 179 w 208"/>
                              <a:gd name="T1" fmla="*/ 27 h 123"/>
                              <a:gd name="T2" fmla="*/ 140 w 208"/>
                              <a:gd name="T3" fmla="*/ 27 h 123"/>
                              <a:gd name="T4" fmla="*/ 90 w 208"/>
                              <a:gd name="T5" fmla="*/ 66 h 123"/>
                              <a:gd name="T6" fmla="*/ 64 w 208"/>
                              <a:gd name="T7" fmla="*/ 53 h 123"/>
                              <a:gd name="T8" fmla="*/ 0 w 208"/>
                              <a:gd name="T9" fmla="*/ 105 h 123"/>
                              <a:gd name="T10" fmla="*/ 0 w 208"/>
                              <a:gd name="T11" fmla="*/ 123 h 123"/>
                              <a:gd name="T12" fmla="*/ 66 w 208"/>
                              <a:gd name="T13" fmla="*/ 68 h 123"/>
                              <a:gd name="T14" fmla="*/ 91 w 208"/>
                              <a:gd name="T15" fmla="*/ 82 h 123"/>
                              <a:gd name="T16" fmla="*/ 144 w 208"/>
                              <a:gd name="T17" fmla="*/ 41 h 123"/>
                              <a:gd name="T18" fmla="*/ 185 w 208"/>
                              <a:gd name="T19" fmla="*/ 41 h 123"/>
                              <a:gd name="T20" fmla="*/ 208 w 208"/>
                              <a:gd name="T21" fmla="*/ 18 h 123"/>
                              <a:gd name="T22" fmla="*/ 208 w 208"/>
                              <a:gd name="T23" fmla="*/ 0 h 123"/>
                              <a:gd name="T24" fmla="*/ 179 w 208"/>
                              <a:gd name="T25" fmla="*/ 27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8" h="123">
                                <a:moveTo>
                                  <a:pt x="179" y="27"/>
                                </a:moveTo>
                                <a:lnTo>
                                  <a:pt x="140" y="27"/>
                                </a:lnTo>
                                <a:lnTo>
                                  <a:pt x="90" y="66"/>
                                </a:lnTo>
                                <a:lnTo>
                                  <a:pt x="64" y="53"/>
                                </a:lnTo>
                                <a:lnTo>
                                  <a:pt x="0" y="105"/>
                                </a:lnTo>
                                <a:lnTo>
                                  <a:pt x="0" y="123"/>
                                </a:lnTo>
                                <a:lnTo>
                                  <a:pt x="66" y="68"/>
                                </a:lnTo>
                                <a:lnTo>
                                  <a:pt x="91" y="82"/>
                                </a:lnTo>
                                <a:lnTo>
                                  <a:pt x="144" y="41"/>
                                </a:lnTo>
                                <a:lnTo>
                                  <a:pt x="185" y="41"/>
                                </a:lnTo>
                                <a:lnTo>
                                  <a:pt x="208" y="18"/>
                                </a:lnTo>
                                <a:lnTo>
                                  <a:pt x="208" y="0"/>
                                </a:lnTo>
                                <a:lnTo>
                                  <a:pt x="179" y="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414C87F" id="Group 61" o:spid="_x0000_s1026" style="position:absolute;margin-left:-2.5pt;margin-top:11.9pt;width:44.15pt;height:44.4pt;z-index:-251657216;mso-width-relative:margin;mso-height-relative:margin" coordsize="330201,300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">
                <v:rect id="Rectangle 2" o:spid="_x0000_s1027" style="position:absolute;left:19050;top:234950;width:61913;height:65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rect id="Rectangle 3" o:spid="_x0000_s1028" style="position:absolute;left:101600;top:195263;width:61913;height:10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rect id="Rectangle 4" o:spid="_x0000_s1029" style="position:absolute;left:185738;top:153988;width:61913;height:146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rect id="Rectangle 5" o:spid="_x0000_s1030" style="position:absolute;left:268288;top:111125;width:61913;height:188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shape id="Freeform 6" o:spid="_x0000_s1031" style="position:absolute;width:330200;height:195263;visibility:visible;mso-wrap-style:square;v-text-anchor:top" coordsize="208,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fKsQA&#10;AADaAAAADwAAAGRycy9kb3ducmV2LnhtbESPT2vCQBTE70K/w/IK3pqNHkKTZpVSFKTgoVa0x2f2&#10;5Q9m38bsNkm/fbdQ8DjMzG+YfD2ZVgzUu8aygkUUgyAurG64UnD83D49g3AeWWNrmRT8kIP16mGW&#10;Y6btyB80HHwlAoRdhgpq77tMSlfUZNBFtiMOXml7gz7IvpK6xzHATSuXcZxIgw2HhRo7equpuB6+&#10;jYIuHU7vu71Jq+m2+VoUJV/i9KzU/HF6fQHhafL38H97pxUk8Hcl3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jXyrEAAAA2gAAAA8AAAAAAAAAAAAAAAAAmAIAAGRycy9k&#10;b3ducmV2LnhtbFBLBQYAAAAABAAEAPUAAACJAwAAAAA=&#10;" path="m179,27r-39,l90,66,64,53,,105r,18l66,68,91,82,144,41r41,l208,18,208,,179,27xe" filled="f" stroked="f">
                  <v:path arrowok="t" o:connecttype="custom" o:connectlocs="284163,42863;222250,42863;142875,104775;101600,84138;0,166688;0,195263;104775,107950;144463,130175;228600,65088;293688,65088;330200,28575;330200,0;284163,42863" o:connectangles="0,0,0,0,0,0,0,0,0,0,0,0,0"/>
                </v:shape>
                <w10:wrap type="square"/>
              </v:group>
            </w:pict>
          </mc:Fallback>
        </mc:AlternateContent>
      </w:r>
      <w:r w:rsidR="00132817">
        <w:rPr>
          <w:lang w:val="en-GB"/>
        </w:rPr>
        <w:t>THE FUND’S</w:t>
      </w:r>
      <w:r w:rsidR="00055030">
        <w:rPr>
          <w:lang w:val="en-GB"/>
        </w:rPr>
        <w:t xml:space="preserve"> Objective</w:t>
      </w:r>
    </w:p>
    <w:p w14:paraId="6408E2DF" w14:textId="301C08E5" w:rsidR="00870FDF" w:rsidRDefault="00055030" w:rsidP="00C92D31">
      <w:pPr>
        <w:ind w:left="993"/>
        <w:rPr>
          <w:rFonts w:cs="Arial"/>
        </w:rPr>
      </w:pPr>
      <w:r>
        <w:rPr>
          <w:rFonts w:cs="Arial"/>
        </w:rPr>
        <w:t>T</w:t>
      </w:r>
      <w:r w:rsidRPr="009A05AB">
        <w:rPr>
          <w:rFonts w:cs="Arial"/>
        </w:rPr>
        <w:t xml:space="preserve">he Administering Authority’s long term objective is for the </w:t>
      </w:r>
      <w:r w:rsidR="00177D13">
        <w:rPr>
          <w:rFonts w:cs="Arial"/>
        </w:rPr>
        <w:t>Fund</w:t>
      </w:r>
      <w:r w:rsidRPr="009A05AB">
        <w:rPr>
          <w:rFonts w:cs="Arial"/>
        </w:rPr>
        <w:t xml:space="preserve"> to achieve</w:t>
      </w:r>
      <w:r w:rsidR="00C92D31">
        <w:rPr>
          <w:rFonts w:cs="Arial"/>
        </w:rPr>
        <w:t xml:space="preserve"> a 100% solvency level</w:t>
      </w:r>
      <w:r w:rsidR="006469B0">
        <w:rPr>
          <w:rFonts w:cs="Arial"/>
        </w:rPr>
        <w:t xml:space="preserve"> over a reasonable time period</w:t>
      </w:r>
      <w:r w:rsidRPr="009A05AB">
        <w:rPr>
          <w:rFonts w:cs="Arial"/>
        </w:rPr>
        <w:t xml:space="preserve"> and then maintain sufficient assets </w:t>
      </w:r>
      <w:r>
        <w:rPr>
          <w:rFonts w:cs="Arial"/>
        </w:rPr>
        <w:t xml:space="preserve">in order for it to pay all benefits arising as they fall due.  </w:t>
      </w:r>
      <w:r w:rsidR="00667CD7">
        <w:rPr>
          <w:rFonts w:cs="Arial"/>
        </w:rPr>
        <w:t xml:space="preserve"> This objective will be considered on an employer specific level where appropriate.</w:t>
      </w:r>
    </w:p>
    <w:p w14:paraId="0F94AA29" w14:textId="69C23F7E" w:rsidR="00055030" w:rsidRPr="00055030" w:rsidRDefault="00055030" w:rsidP="00055030">
      <w:pPr>
        <w:rPr>
          <w:rFonts w:cs="Arial"/>
        </w:rPr>
      </w:pPr>
      <w:r w:rsidRPr="00055030">
        <w:rPr>
          <w:rFonts w:cs="Arial"/>
        </w:rPr>
        <w:t xml:space="preserve">The general principle adopted by the </w:t>
      </w:r>
      <w:r w:rsidR="00177D13">
        <w:rPr>
          <w:rFonts w:cs="Arial"/>
        </w:rPr>
        <w:t>Fund</w:t>
      </w:r>
      <w:r w:rsidRPr="00055030">
        <w:rPr>
          <w:rFonts w:cs="Arial"/>
        </w:rPr>
        <w:t xml:space="preserve"> is that the assumptions used, taken as a whole, will be chosen sufficiently prudently for pensions already in payment to continue to be paid, and to reflect the commitments </w:t>
      </w:r>
      <w:r w:rsidR="00EE6A71">
        <w:rPr>
          <w:rFonts w:cs="Arial"/>
        </w:rPr>
        <w:t>that</w:t>
      </w:r>
      <w:r w:rsidR="00EE6A71" w:rsidRPr="00055030">
        <w:rPr>
          <w:rFonts w:cs="Arial"/>
        </w:rPr>
        <w:t xml:space="preserve"> </w:t>
      </w:r>
      <w:r w:rsidRPr="00055030">
        <w:rPr>
          <w:rFonts w:cs="Arial"/>
        </w:rPr>
        <w:t xml:space="preserve">will arise from members’ accrued pension rights.  </w:t>
      </w:r>
    </w:p>
    <w:p w14:paraId="0959E6E0" w14:textId="06C933D3" w:rsidR="00055030" w:rsidRDefault="00055030" w:rsidP="00055030">
      <w:pPr>
        <w:rPr>
          <w:rFonts w:cs="Arial"/>
        </w:rPr>
      </w:pPr>
      <w:r>
        <w:rPr>
          <w:rFonts w:cs="Arial"/>
        </w:rPr>
        <w:t xml:space="preserve">The funding strategy set out in this document has been developed </w:t>
      </w:r>
      <w:r w:rsidR="00C92D31">
        <w:rPr>
          <w:rFonts w:cs="Arial"/>
        </w:rPr>
        <w:t xml:space="preserve">alongside </w:t>
      </w:r>
      <w:r>
        <w:rPr>
          <w:rFonts w:cs="Arial"/>
        </w:rPr>
        <w:t xml:space="preserve">the </w:t>
      </w:r>
      <w:r w:rsidR="00177D13">
        <w:rPr>
          <w:rFonts w:cs="Arial"/>
        </w:rPr>
        <w:t>Fund</w:t>
      </w:r>
      <w:r>
        <w:rPr>
          <w:rFonts w:cs="Arial"/>
        </w:rPr>
        <w:t>’s investment strategy</w:t>
      </w:r>
      <w:r w:rsidR="00C92D31">
        <w:rPr>
          <w:rFonts w:cs="Arial"/>
        </w:rPr>
        <w:t xml:space="preserve"> on an integrated basis taking into account the overall </w:t>
      </w:r>
      <w:r w:rsidR="00B73899">
        <w:rPr>
          <w:rFonts w:cs="Arial"/>
        </w:rPr>
        <w:t xml:space="preserve">financial and demographic </w:t>
      </w:r>
      <w:r w:rsidR="00C92D31">
        <w:rPr>
          <w:rFonts w:cs="Arial"/>
        </w:rPr>
        <w:t xml:space="preserve">risks inherent in the </w:t>
      </w:r>
      <w:r w:rsidR="00177D13">
        <w:rPr>
          <w:rFonts w:cs="Arial"/>
        </w:rPr>
        <w:t>Fund</w:t>
      </w:r>
      <w:r>
        <w:rPr>
          <w:rFonts w:cs="Arial"/>
        </w:rPr>
        <w:t xml:space="preserve">.  </w:t>
      </w:r>
      <w:r w:rsidR="0011648F">
        <w:rPr>
          <w:rFonts w:cs="Arial"/>
        </w:rPr>
        <w:t xml:space="preserve">The funding strategy </w:t>
      </w:r>
      <w:r w:rsidRPr="00055030">
        <w:rPr>
          <w:rFonts w:cs="Arial"/>
        </w:rPr>
        <w:t>include</w:t>
      </w:r>
      <w:r w:rsidR="0011648F">
        <w:rPr>
          <w:rFonts w:cs="Arial"/>
        </w:rPr>
        <w:t>s</w:t>
      </w:r>
      <w:r w:rsidRPr="00055030">
        <w:rPr>
          <w:rFonts w:cs="Arial"/>
        </w:rPr>
        <w:t xml:space="preserve"> appropriate margins to allow for the possibility of events turning out worse than expected</w:t>
      </w:r>
      <w:r w:rsidR="0011648F">
        <w:rPr>
          <w:rFonts w:cs="Arial"/>
        </w:rPr>
        <w:t xml:space="preserve">.   </w:t>
      </w:r>
      <w:r w:rsidR="00806550">
        <w:rPr>
          <w:rFonts w:cs="Arial"/>
        </w:rPr>
        <w:t>Individual employer results will also have regard to their covenant strength</w:t>
      </w:r>
      <w:r w:rsidR="0054233F">
        <w:rPr>
          <w:rFonts w:cs="Arial"/>
        </w:rPr>
        <w:t xml:space="preserve"> and the investment strategy</w:t>
      </w:r>
      <w:r w:rsidR="00B0057D">
        <w:rPr>
          <w:rFonts w:cs="Arial"/>
        </w:rPr>
        <w:t xml:space="preserve"> applied to the asset shares of those employers</w:t>
      </w:r>
      <w:r w:rsidR="00806550">
        <w:rPr>
          <w:rFonts w:cs="Arial"/>
        </w:rPr>
        <w:t>.</w:t>
      </w:r>
    </w:p>
    <w:p w14:paraId="45C105F5" w14:textId="2717DCFE" w:rsidR="00C2031E" w:rsidRDefault="00067FC5" w:rsidP="00C2031E">
      <w:pPr>
        <w:pStyle w:val="Heading10"/>
        <w:rPr>
          <w:lang w:val="en-GB"/>
        </w:rPr>
      </w:pPr>
      <w:r w:rsidRPr="001028FE">
        <w:rPr>
          <w:noProof/>
          <w:lang w:val="en-GB" w:eastAsia="en-GB"/>
        </w:rPr>
        <mc:AlternateContent>
          <mc:Choice Requires="wpg">
            <w:drawing>
              <wp:anchor distT="0" distB="0" distL="114300" distR="114300" simplePos="0" relativeHeight="251661312" behindDoc="1" locked="0" layoutInCell="1" allowOverlap="1" wp14:anchorId="32FDBDA6" wp14:editId="4FCC7A9C">
                <wp:simplePos x="0" y="0"/>
                <wp:positionH relativeFrom="column">
                  <wp:posOffset>19050</wp:posOffset>
                </wp:positionH>
                <wp:positionV relativeFrom="paragraph">
                  <wp:posOffset>113030</wp:posOffset>
                </wp:positionV>
                <wp:extent cx="701040" cy="739140"/>
                <wp:effectExtent l="19050" t="19050" r="22860" b="22860"/>
                <wp:wrapSquare wrapText="bothSides"/>
                <wp:docPr id="7" name="Group 44"/>
                <wp:cNvGraphicFramePr/>
                <a:graphic xmlns:a="http://schemas.openxmlformats.org/drawingml/2006/main">
                  <a:graphicData uri="http://schemas.microsoft.com/office/word/2010/wordprocessingGroup">
                    <wpg:wgp>
                      <wpg:cNvGrpSpPr/>
                      <wpg:grpSpPr>
                        <a:xfrm>
                          <a:off x="0" y="0"/>
                          <a:ext cx="701040" cy="739140"/>
                          <a:chOff x="0" y="0"/>
                          <a:chExt cx="914400" cy="914400"/>
                        </a:xfrm>
                      </wpg:grpSpPr>
                      <wps:wsp>
                        <wps:cNvPr id="8" name="Oval 8"/>
                        <wps:cNvSpPr/>
                        <wps:spPr>
                          <a:xfrm>
                            <a:off x="0" y="0"/>
                            <a:ext cx="914400" cy="914400"/>
                          </a:xfrm>
                          <a:prstGeom prst="ellipse">
                            <a:avLst/>
                          </a:prstGeom>
                          <a:noFill/>
                          <a:ln w="38100">
                            <a:solidFill>
                              <a:srgbClr val="FBAE1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9" name="Group 9"/>
                        <wpg:cNvGrpSpPr>
                          <a:grpSpLocks noChangeAspect="1"/>
                        </wpg:cNvGrpSpPr>
                        <wpg:grpSpPr bwMode="auto">
                          <a:xfrm>
                            <a:off x="238673" y="213732"/>
                            <a:ext cx="437055" cy="486936"/>
                            <a:chOff x="238673" y="213732"/>
                            <a:chExt cx="184" cy="205"/>
                          </a:xfrm>
                          <a:solidFill>
                            <a:schemeClr val="accent1"/>
                          </a:solidFill>
                        </wpg:grpSpPr>
                        <wps:wsp>
                          <wps:cNvPr id="10" name="Freeform 10"/>
                          <wps:cNvSpPr>
                            <a:spLocks noEditPoints="1"/>
                          </wps:cNvSpPr>
                          <wps:spPr bwMode="auto">
                            <a:xfrm>
                              <a:off x="238673" y="213732"/>
                              <a:ext cx="184" cy="205"/>
                            </a:xfrm>
                            <a:custGeom>
                              <a:avLst/>
                              <a:gdLst>
                                <a:gd name="T0" fmla="*/ 1178 w 2941"/>
                                <a:gd name="T1" fmla="*/ 1195 h 3277"/>
                                <a:gd name="T2" fmla="*/ 868 w 2941"/>
                                <a:gd name="T3" fmla="*/ 1369 h 3277"/>
                                <a:gd name="T4" fmla="*/ 649 w 2941"/>
                                <a:gd name="T5" fmla="*/ 1643 h 3277"/>
                                <a:gd name="T6" fmla="*/ 548 w 2941"/>
                                <a:gd name="T7" fmla="*/ 1989 h 3277"/>
                                <a:gd name="T8" fmla="*/ 593 w 2941"/>
                                <a:gd name="T9" fmla="*/ 2352 h 3277"/>
                                <a:gd name="T10" fmla="*/ 768 w 2941"/>
                                <a:gd name="T11" fmla="*/ 2659 h 3277"/>
                                <a:gd name="T12" fmla="*/ 1045 w 2941"/>
                                <a:gd name="T13" fmla="*/ 2876 h 3277"/>
                                <a:gd name="T14" fmla="*/ 1394 w 2941"/>
                                <a:gd name="T15" fmla="*/ 2976 h 3277"/>
                                <a:gd name="T16" fmla="*/ 1763 w 2941"/>
                                <a:gd name="T17" fmla="*/ 2932 h 3277"/>
                                <a:gd name="T18" fmla="*/ 2072 w 2941"/>
                                <a:gd name="T19" fmla="*/ 2759 h 3277"/>
                                <a:gd name="T20" fmla="*/ 2292 w 2941"/>
                                <a:gd name="T21" fmla="*/ 2484 h 3277"/>
                                <a:gd name="T22" fmla="*/ 2393 w 2941"/>
                                <a:gd name="T23" fmla="*/ 2139 h 3277"/>
                                <a:gd name="T24" fmla="*/ 2348 w 2941"/>
                                <a:gd name="T25" fmla="*/ 1774 h 3277"/>
                                <a:gd name="T26" fmla="*/ 2172 w 2941"/>
                                <a:gd name="T27" fmla="*/ 1469 h 3277"/>
                                <a:gd name="T28" fmla="*/ 1895 w 2941"/>
                                <a:gd name="T29" fmla="*/ 1251 h 3277"/>
                                <a:gd name="T30" fmla="*/ 1546 w 2941"/>
                                <a:gd name="T31" fmla="*/ 1151 h 3277"/>
                                <a:gd name="T32" fmla="*/ 2799 w 2941"/>
                                <a:gd name="T33" fmla="*/ 9 h 3277"/>
                                <a:gd name="T34" fmla="*/ 2759 w 2941"/>
                                <a:gd name="T35" fmla="*/ 91 h 3277"/>
                                <a:gd name="T36" fmla="*/ 2664 w 2941"/>
                                <a:gd name="T37" fmla="*/ 236 h 3277"/>
                                <a:gd name="T38" fmla="*/ 2503 w 2941"/>
                                <a:gd name="T39" fmla="*/ 411 h 3277"/>
                                <a:gd name="T40" fmla="*/ 2265 w 2941"/>
                                <a:gd name="T41" fmla="*/ 583 h 3277"/>
                                <a:gd name="T42" fmla="*/ 1938 w 2941"/>
                                <a:gd name="T43" fmla="*/ 719 h 3277"/>
                                <a:gd name="T44" fmla="*/ 1607 w 2941"/>
                                <a:gd name="T45" fmla="*/ 962 h 3277"/>
                                <a:gd name="T46" fmla="*/ 2251 w 2941"/>
                                <a:gd name="T47" fmla="*/ 978 h 3277"/>
                                <a:gd name="T48" fmla="*/ 2391 w 2941"/>
                                <a:gd name="T49" fmla="*/ 1067 h 3277"/>
                                <a:gd name="T50" fmla="*/ 2466 w 2941"/>
                                <a:gd name="T51" fmla="*/ 1230 h 3277"/>
                                <a:gd name="T52" fmla="*/ 2512 w 2941"/>
                                <a:gd name="T53" fmla="*/ 1401 h 3277"/>
                                <a:gd name="T54" fmla="*/ 2584 w 2941"/>
                                <a:gd name="T55" fmla="*/ 1665 h 3277"/>
                                <a:gd name="T56" fmla="*/ 2670 w 2941"/>
                                <a:gd name="T57" fmla="*/ 1983 h 3277"/>
                                <a:gd name="T58" fmla="*/ 2758 w 2941"/>
                                <a:gd name="T59" fmla="*/ 2310 h 3277"/>
                                <a:gd name="T60" fmla="*/ 2838 w 2941"/>
                                <a:gd name="T61" fmla="*/ 2605 h 3277"/>
                                <a:gd name="T62" fmla="*/ 2899 w 2941"/>
                                <a:gd name="T63" fmla="*/ 2827 h 3277"/>
                                <a:gd name="T64" fmla="*/ 2928 w 2941"/>
                                <a:gd name="T65" fmla="*/ 2933 h 3277"/>
                                <a:gd name="T66" fmla="*/ 2940 w 2941"/>
                                <a:gd name="T67" fmla="*/ 3031 h 3277"/>
                                <a:gd name="T68" fmla="*/ 2899 w 2941"/>
                                <a:gd name="T69" fmla="*/ 3119 h 3277"/>
                                <a:gd name="T70" fmla="*/ 2777 w 2941"/>
                                <a:gd name="T71" fmla="*/ 3164 h 3277"/>
                                <a:gd name="T72" fmla="*/ 349 w 2941"/>
                                <a:gd name="T73" fmla="*/ 3166 h 3277"/>
                                <a:gd name="T74" fmla="*/ 78 w 2941"/>
                                <a:gd name="T75" fmla="*/ 3144 h 3277"/>
                                <a:gd name="T76" fmla="*/ 8 w 2941"/>
                                <a:gd name="T77" fmla="*/ 3070 h 3277"/>
                                <a:gd name="T78" fmla="*/ 3 w 2941"/>
                                <a:gd name="T79" fmla="*/ 2971 h 3277"/>
                                <a:gd name="T80" fmla="*/ 25 w 2941"/>
                                <a:gd name="T81" fmla="*/ 2885 h 3277"/>
                                <a:gd name="T82" fmla="*/ 74 w 2941"/>
                                <a:gd name="T83" fmla="*/ 2704 h 3277"/>
                                <a:gd name="T84" fmla="*/ 148 w 2941"/>
                                <a:gd name="T85" fmla="*/ 2434 h 3277"/>
                                <a:gd name="T86" fmla="*/ 235 w 2941"/>
                                <a:gd name="T87" fmla="*/ 2115 h 3277"/>
                                <a:gd name="T88" fmla="*/ 323 w 2941"/>
                                <a:gd name="T89" fmla="*/ 1788 h 3277"/>
                                <a:gd name="T90" fmla="*/ 401 w 2941"/>
                                <a:gd name="T91" fmla="*/ 1498 h 3277"/>
                                <a:gd name="T92" fmla="*/ 459 w 2941"/>
                                <a:gd name="T93" fmla="*/ 1284 h 3277"/>
                                <a:gd name="T94" fmla="*/ 509 w 2941"/>
                                <a:gd name="T95" fmla="*/ 1129 h 3277"/>
                                <a:gd name="T96" fmla="*/ 628 w 2941"/>
                                <a:gd name="T97" fmla="*/ 1004 h 3277"/>
                                <a:gd name="T98" fmla="*/ 790 w 2941"/>
                                <a:gd name="T99" fmla="*/ 962 h 3277"/>
                                <a:gd name="T100" fmla="*/ 1120 w 2941"/>
                                <a:gd name="T101" fmla="*/ 767 h 3277"/>
                                <a:gd name="T102" fmla="*/ 755 w 2941"/>
                                <a:gd name="T103" fmla="*/ 673 h 3277"/>
                                <a:gd name="T104" fmla="*/ 483 w 2941"/>
                                <a:gd name="T105" fmla="*/ 525 h 3277"/>
                                <a:gd name="T106" fmla="*/ 291 w 2941"/>
                                <a:gd name="T107" fmla="*/ 355 h 3277"/>
                                <a:gd name="T108" fmla="*/ 167 w 2941"/>
                                <a:gd name="T109" fmla="*/ 192 h 3277"/>
                                <a:gd name="T110" fmla="*/ 100 w 2941"/>
                                <a:gd name="T111" fmla="*/ 64 h 3277"/>
                                <a:gd name="T112" fmla="*/ 76 w 2941"/>
                                <a:gd name="T113" fmla="*/ 2 h 3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41" h="3277">
                                  <a:moveTo>
                                    <a:pt x="1471" y="1149"/>
                                  </a:moveTo>
                                  <a:lnTo>
                                    <a:pt x="1394" y="1151"/>
                                  </a:lnTo>
                                  <a:lnTo>
                                    <a:pt x="1320" y="1161"/>
                                  </a:lnTo>
                                  <a:lnTo>
                                    <a:pt x="1248" y="1175"/>
                                  </a:lnTo>
                                  <a:lnTo>
                                    <a:pt x="1178" y="1195"/>
                                  </a:lnTo>
                                  <a:lnTo>
                                    <a:pt x="1111" y="1220"/>
                                  </a:lnTo>
                                  <a:lnTo>
                                    <a:pt x="1045" y="1251"/>
                                  </a:lnTo>
                                  <a:lnTo>
                                    <a:pt x="982" y="1285"/>
                                  </a:lnTo>
                                  <a:lnTo>
                                    <a:pt x="924" y="1325"/>
                                  </a:lnTo>
                                  <a:lnTo>
                                    <a:pt x="868" y="1369"/>
                                  </a:lnTo>
                                  <a:lnTo>
                                    <a:pt x="816" y="1416"/>
                                  </a:lnTo>
                                  <a:lnTo>
                                    <a:pt x="768" y="1469"/>
                                  </a:lnTo>
                                  <a:lnTo>
                                    <a:pt x="724" y="1523"/>
                                  </a:lnTo>
                                  <a:lnTo>
                                    <a:pt x="684" y="1582"/>
                                  </a:lnTo>
                                  <a:lnTo>
                                    <a:pt x="649" y="1643"/>
                                  </a:lnTo>
                                  <a:lnTo>
                                    <a:pt x="618" y="1707"/>
                                  </a:lnTo>
                                  <a:lnTo>
                                    <a:pt x="593" y="1774"/>
                                  </a:lnTo>
                                  <a:lnTo>
                                    <a:pt x="572" y="1844"/>
                                  </a:lnTo>
                                  <a:lnTo>
                                    <a:pt x="558" y="1915"/>
                                  </a:lnTo>
                                  <a:lnTo>
                                    <a:pt x="548" y="1989"/>
                                  </a:lnTo>
                                  <a:lnTo>
                                    <a:pt x="545" y="2063"/>
                                  </a:lnTo>
                                  <a:lnTo>
                                    <a:pt x="548" y="2139"/>
                                  </a:lnTo>
                                  <a:lnTo>
                                    <a:pt x="558" y="2212"/>
                                  </a:lnTo>
                                  <a:lnTo>
                                    <a:pt x="572" y="2283"/>
                                  </a:lnTo>
                                  <a:lnTo>
                                    <a:pt x="593" y="2352"/>
                                  </a:lnTo>
                                  <a:lnTo>
                                    <a:pt x="618" y="2420"/>
                                  </a:lnTo>
                                  <a:lnTo>
                                    <a:pt x="649" y="2484"/>
                                  </a:lnTo>
                                  <a:lnTo>
                                    <a:pt x="684" y="2546"/>
                                  </a:lnTo>
                                  <a:lnTo>
                                    <a:pt x="724" y="2604"/>
                                  </a:lnTo>
                                  <a:lnTo>
                                    <a:pt x="768" y="2659"/>
                                  </a:lnTo>
                                  <a:lnTo>
                                    <a:pt x="816" y="2711"/>
                                  </a:lnTo>
                                  <a:lnTo>
                                    <a:pt x="868" y="2759"/>
                                  </a:lnTo>
                                  <a:lnTo>
                                    <a:pt x="924" y="2802"/>
                                  </a:lnTo>
                                  <a:lnTo>
                                    <a:pt x="982" y="2842"/>
                                  </a:lnTo>
                                  <a:lnTo>
                                    <a:pt x="1045" y="2876"/>
                                  </a:lnTo>
                                  <a:lnTo>
                                    <a:pt x="1111" y="2906"/>
                                  </a:lnTo>
                                  <a:lnTo>
                                    <a:pt x="1178" y="2932"/>
                                  </a:lnTo>
                                  <a:lnTo>
                                    <a:pt x="1248" y="2953"/>
                                  </a:lnTo>
                                  <a:lnTo>
                                    <a:pt x="1320" y="2967"/>
                                  </a:lnTo>
                                  <a:lnTo>
                                    <a:pt x="1394" y="2976"/>
                                  </a:lnTo>
                                  <a:lnTo>
                                    <a:pt x="1471" y="2979"/>
                                  </a:lnTo>
                                  <a:lnTo>
                                    <a:pt x="1546" y="2976"/>
                                  </a:lnTo>
                                  <a:lnTo>
                                    <a:pt x="1620" y="2967"/>
                                  </a:lnTo>
                                  <a:lnTo>
                                    <a:pt x="1693" y="2953"/>
                                  </a:lnTo>
                                  <a:lnTo>
                                    <a:pt x="1763" y="2932"/>
                                  </a:lnTo>
                                  <a:lnTo>
                                    <a:pt x="1830" y="2906"/>
                                  </a:lnTo>
                                  <a:lnTo>
                                    <a:pt x="1895" y="2876"/>
                                  </a:lnTo>
                                  <a:lnTo>
                                    <a:pt x="1958" y="2842"/>
                                  </a:lnTo>
                                  <a:lnTo>
                                    <a:pt x="2017" y="2802"/>
                                  </a:lnTo>
                                  <a:lnTo>
                                    <a:pt x="2072" y="2759"/>
                                  </a:lnTo>
                                  <a:lnTo>
                                    <a:pt x="2125" y="2711"/>
                                  </a:lnTo>
                                  <a:lnTo>
                                    <a:pt x="2172" y="2659"/>
                                  </a:lnTo>
                                  <a:lnTo>
                                    <a:pt x="2217" y="2604"/>
                                  </a:lnTo>
                                  <a:lnTo>
                                    <a:pt x="2257" y="2546"/>
                                  </a:lnTo>
                                  <a:lnTo>
                                    <a:pt x="2292" y="2484"/>
                                  </a:lnTo>
                                  <a:lnTo>
                                    <a:pt x="2323" y="2420"/>
                                  </a:lnTo>
                                  <a:lnTo>
                                    <a:pt x="2348" y="2352"/>
                                  </a:lnTo>
                                  <a:lnTo>
                                    <a:pt x="2368" y="2283"/>
                                  </a:lnTo>
                                  <a:lnTo>
                                    <a:pt x="2383" y="2212"/>
                                  </a:lnTo>
                                  <a:lnTo>
                                    <a:pt x="2393" y="2139"/>
                                  </a:lnTo>
                                  <a:lnTo>
                                    <a:pt x="2396" y="2063"/>
                                  </a:lnTo>
                                  <a:lnTo>
                                    <a:pt x="2393" y="1989"/>
                                  </a:lnTo>
                                  <a:lnTo>
                                    <a:pt x="2383" y="1915"/>
                                  </a:lnTo>
                                  <a:lnTo>
                                    <a:pt x="2368" y="1844"/>
                                  </a:lnTo>
                                  <a:lnTo>
                                    <a:pt x="2348" y="1774"/>
                                  </a:lnTo>
                                  <a:lnTo>
                                    <a:pt x="2323" y="1707"/>
                                  </a:lnTo>
                                  <a:lnTo>
                                    <a:pt x="2292" y="1643"/>
                                  </a:lnTo>
                                  <a:lnTo>
                                    <a:pt x="2257" y="1582"/>
                                  </a:lnTo>
                                  <a:lnTo>
                                    <a:pt x="2217" y="1523"/>
                                  </a:lnTo>
                                  <a:lnTo>
                                    <a:pt x="2172" y="1469"/>
                                  </a:lnTo>
                                  <a:lnTo>
                                    <a:pt x="2125" y="1416"/>
                                  </a:lnTo>
                                  <a:lnTo>
                                    <a:pt x="2072" y="1369"/>
                                  </a:lnTo>
                                  <a:lnTo>
                                    <a:pt x="2017" y="1325"/>
                                  </a:lnTo>
                                  <a:lnTo>
                                    <a:pt x="1958" y="1285"/>
                                  </a:lnTo>
                                  <a:lnTo>
                                    <a:pt x="1895" y="1251"/>
                                  </a:lnTo>
                                  <a:lnTo>
                                    <a:pt x="1830" y="1220"/>
                                  </a:lnTo>
                                  <a:lnTo>
                                    <a:pt x="1763" y="1195"/>
                                  </a:lnTo>
                                  <a:lnTo>
                                    <a:pt x="1693" y="1175"/>
                                  </a:lnTo>
                                  <a:lnTo>
                                    <a:pt x="1620" y="1161"/>
                                  </a:lnTo>
                                  <a:lnTo>
                                    <a:pt x="1546" y="1151"/>
                                  </a:lnTo>
                                  <a:lnTo>
                                    <a:pt x="1471" y="1149"/>
                                  </a:lnTo>
                                  <a:close/>
                                  <a:moveTo>
                                    <a:pt x="75" y="0"/>
                                  </a:moveTo>
                                  <a:lnTo>
                                    <a:pt x="2802" y="0"/>
                                  </a:lnTo>
                                  <a:lnTo>
                                    <a:pt x="2801" y="2"/>
                                  </a:lnTo>
                                  <a:lnTo>
                                    <a:pt x="2799" y="9"/>
                                  </a:lnTo>
                                  <a:lnTo>
                                    <a:pt x="2795" y="18"/>
                                  </a:lnTo>
                                  <a:lnTo>
                                    <a:pt x="2789" y="32"/>
                                  </a:lnTo>
                                  <a:lnTo>
                                    <a:pt x="2781" y="48"/>
                                  </a:lnTo>
                                  <a:lnTo>
                                    <a:pt x="2771" y="68"/>
                                  </a:lnTo>
                                  <a:lnTo>
                                    <a:pt x="2759" y="91"/>
                                  </a:lnTo>
                                  <a:lnTo>
                                    <a:pt x="2744" y="117"/>
                                  </a:lnTo>
                                  <a:lnTo>
                                    <a:pt x="2728" y="144"/>
                                  </a:lnTo>
                                  <a:lnTo>
                                    <a:pt x="2709" y="173"/>
                                  </a:lnTo>
                                  <a:lnTo>
                                    <a:pt x="2688" y="203"/>
                                  </a:lnTo>
                                  <a:lnTo>
                                    <a:pt x="2664" y="236"/>
                                  </a:lnTo>
                                  <a:lnTo>
                                    <a:pt x="2637" y="269"/>
                                  </a:lnTo>
                                  <a:lnTo>
                                    <a:pt x="2608" y="304"/>
                                  </a:lnTo>
                                  <a:lnTo>
                                    <a:pt x="2576" y="340"/>
                                  </a:lnTo>
                                  <a:lnTo>
                                    <a:pt x="2541" y="375"/>
                                  </a:lnTo>
                                  <a:lnTo>
                                    <a:pt x="2503" y="411"/>
                                  </a:lnTo>
                                  <a:lnTo>
                                    <a:pt x="2461" y="446"/>
                                  </a:lnTo>
                                  <a:lnTo>
                                    <a:pt x="2417" y="482"/>
                                  </a:lnTo>
                                  <a:lnTo>
                                    <a:pt x="2369" y="517"/>
                                  </a:lnTo>
                                  <a:lnTo>
                                    <a:pt x="2319" y="550"/>
                                  </a:lnTo>
                                  <a:lnTo>
                                    <a:pt x="2265" y="583"/>
                                  </a:lnTo>
                                  <a:lnTo>
                                    <a:pt x="2207" y="614"/>
                                  </a:lnTo>
                                  <a:lnTo>
                                    <a:pt x="2146" y="643"/>
                                  </a:lnTo>
                                  <a:lnTo>
                                    <a:pt x="2080" y="671"/>
                                  </a:lnTo>
                                  <a:lnTo>
                                    <a:pt x="2012" y="696"/>
                                  </a:lnTo>
                                  <a:lnTo>
                                    <a:pt x="1938" y="719"/>
                                  </a:lnTo>
                                  <a:lnTo>
                                    <a:pt x="1862" y="739"/>
                                  </a:lnTo>
                                  <a:lnTo>
                                    <a:pt x="1781" y="755"/>
                                  </a:lnTo>
                                  <a:lnTo>
                                    <a:pt x="1696" y="769"/>
                                  </a:lnTo>
                                  <a:lnTo>
                                    <a:pt x="1607" y="779"/>
                                  </a:lnTo>
                                  <a:lnTo>
                                    <a:pt x="1607" y="962"/>
                                  </a:lnTo>
                                  <a:lnTo>
                                    <a:pt x="2114" y="962"/>
                                  </a:lnTo>
                                  <a:lnTo>
                                    <a:pt x="2150" y="962"/>
                                  </a:lnTo>
                                  <a:lnTo>
                                    <a:pt x="2185" y="965"/>
                                  </a:lnTo>
                                  <a:lnTo>
                                    <a:pt x="2218" y="971"/>
                                  </a:lnTo>
                                  <a:lnTo>
                                    <a:pt x="2251" y="978"/>
                                  </a:lnTo>
                                  <a:lnTo>
                                    <a:pt x="2283" y="990"/>
                                  </a:lnTo>
                                  <a:lnTo>
                                    <a:pt x="2312" y="1004"/>
                                  </a:lnTo>
                                  <a:lnTo>
                                    <a:pt x="2340" y="1021"/>
                                  </a:lnTo>
                                  <a:lnTo>
                                    <a:pt x="2366" y="1042"/>
                                  </a:lnTo>
                                  <a:lnTo>
                                    <a:pt x="2391" y="1067"/>
                                  </a:lnTo>
                                  <a:lnTo>
                                    <a:pt x="2412" y="1096"/>
                                  </a:lnTo>
                                  <a:lnTo>
                                    <a:pt x="2431" y="1129"/>
                                  </a:lnTo>
                                  <a:lnTo>
                                    <a:pt x="2448" y="1167"/>
                                  </a:lnTo>
                                  <a:lnTo>
                                    <a:pt x="2460" y="1210"/>
                                  </a:lnTo>
                                  <a:lnTo>
                                    <a:pt x="2466" y="1230"/>
                                  </a:lnTo>
                                  <a:lnTo>
                                    <a:pt x="2473" y="1254"/>
                                  </a:lnTo>
                                  <a:lnTo>
                                    <a:pt x="2481" y="1284"/>
                                  </a:lnTo>
                                  <a:lnTo>
                                    <a:pt x="2490" y="1319"/>
                                  </a:lnTo>
                                  <a:lnTo>
                                    <a:pt x="2501" y="1358"/>
                                  </a:lnTo>
                                  <a:lnTo>
                                    <a:pt x="2512" y="1401"/>
                                  </a:lnTo>
                                  <a:lnTo>
                                    <a:pt x="2525" y="1448"/>
                                  </a:lnTo>
                                  <a:lnTo>
                                    <a:pt x="2539" y="1498"/>
                                  </a:lnTo>
                                  <a:lnTo>
                                    <a:pt x="2553" y="1550"/>
                                  </a:lnTo>
                                  <a:lnTo>
                                    <a:pt x="2568" y="1607"/>
                                  </a:lnTo>
                                  <a:lnTo>
                                    <a:pt x="2584" y="1665"/>
                                  </a:lnTo>
                                  <a:lnTo>
                                    <a:pt x="2600" y="1726"/>
                                  </a:lnTo>
                                  <a:lnTo>
                                    <a:pt x="2617" y="1788"/>
                                  </a:lnTo>
                                  <a:lnTo>
                                    <a:pt x="2634" y="1852"/>
                                  </a:lnTo>
                                  <a:lnTo>
                                    <a:pt x="2652" y="1917"/>
                                  </a:lnTo>
                                  <a:lnTo>
                                    <a:pt x="2670" y="1983"/>
                                  </a:lnTo>
                                  <a:lnTo>
                                    <a:pt x="2688" y="2049"/>
                                  </a:lnTo>
                                  <a:lnTo>
                                    <a:pt x="2705" y="2115"/>
                                  </a:lnTo>
                                  <a:lnTo>
                                    <a:pt x="2723" y="2181"/>
                                  </a:lnTo>
                                  <a:lnTo>
                                    <a:pt x="2741" y="2246"/>
                                  </a:lnTo>
                                  <a:lnTo>
                                    <a:pt x="2758" y="2310"/>
                                  </a:lnTo>
                                  <a:lnTo>
                                    <a:pt x="2776" y="2372"/>
                                  </a:lnTo>
                                  <a:lnTo>
                                    <a:pt x="2792" y="2434"/>
                                  </a:lnTo>
                                  <a:lnTo>
                                    <a:pt x="2808" y="2494"/>
                                  </a:lnTo>
                                  <a:lnTo>
                                    <a:pt x="2824" y="2550"/>
                                  </a:lnTo>
                                  <a:lnTo>
                                    <a:pt x="2838" y="2605"/>
                                  </a:lnTo>
                                  <a:lnTo>
                                    <a:pt x="2852" y="2656"/>
                                  </a:lnTo>
                                  <a:lnTo>
                                    <a:pt x="2866" y="2704"/>
                                  </a:lnTo>
                                  <a:lnTo>
                                    <a:pt x="2878" y="2749"/>
                                  </a:lnTo>
                                  <a:lnTo>
                                    <a:pt x="2889" y="2790"/>
                                  </a:lnTo>
                                  <a:lnTo>
                                    <a:pt x="2899" y="2827"/>
                                  </a:lnTo>
                                  <a:lnTo>
                                    <a:pt x="2907" y="2858"/>
                                  </a:lnTo>
                                  <a:lnTo>
                                    <a:pt x="2915" y="2885"/>
                                  </a:lnTo>
                                  <a:lnTo>
                                    <a:pt x="2921" y="2906"/>
                                  </a:lnTo>
                                  <a:lnTo>
                                    <a:pt x="2925" y="2922"/>
                                  </a:lnTo>
                                  <a:lnTo>
                                    <a:pt x="2928" y="2933"/>
                                  </a:lnTo>
                                  <a:lnTo>
                                    <a:pt x="2934" y="2952"/>
                                  </a:lnTo>
                                  <a:lnTo>
                                    <a:pt x="2937" y="2971"/>
                                  </a:lnTo>
                                  <a:lnTo>
                                    <a:pt x="2940" y="2991"/>
                                  </a:lnTo>
                                  <a:lnTo>
                                    <a:pt x="2941" y="3011"/>
                                  </a:lnTo>
                                  <a:lnTo>
                                    <a:pt x="2940" y="3031"/>
                                  </a:lnTo>
                                  <a:lnTo>
                                    <a:pt x="2937" y="3051"/>
                                  </a:lnTo>
                                  <a:lnTo>
                                    <a:pt x="2932" y="3070"/>
                                  </a:lnTo>
                                  <a:lnTo>
                                    <a:pt x="2923" y="3088"/>
                                  </a:lnTo>
                                  <a:lnTo>
                                    <a:pt x="2912" y="3103"/>
                                  </a:lnTo>
                                  <a:lnTo>
                                    <a:pt x="2899" y="3119"/>
                                  </a:lnTo>
                                  <a:lnTo>
                                    <a:pt x="2882" y="3133"/>
                                  </a:lnTo>
                                  <a:lnTo>
                                    <a:pt x="2862" y="3144"/>
                                  </a:lnTo>
                                  <a:lnTo>
                                    <a:pt x="2837" y="3154"/>
                                  </a:lnTo>
                                  <a:lnTo>
                                    <a:pt x="2809" y="3160"/>
                                  </a:lnTo>
                                  <a:lnTo>
                                    <a:pt x="2777" y="3164"/>
                                  </a:lnTo>
                                  <a:lnTo>
                                    <a:pt x="2740" y="3166"/>
                                  </a:lnTo>
                                  <a:lnTo>
                                    <a:pt x="2565" y="3166"/>
                                  </a:lnTo>
                                  <a:lnTo>
                                    <a:pt x="2565" y="3277"/>
                                  </a:lnTo>
                                  <a:lnTo>
                                    <a:pt x="349" y="3277"/>
                                  </a:lnTo>
                                  <a:lnTo>
                                    <a:pt x="349" y="3166"/>
                                  </a:lnTo>
                                  <a:lnTo>
                                    <a:pt x="200" y="3166"/>
                                  </a:lnTo>
                                  <a:lnTo>
                                    <a:pt x="163" y="3164"/>
                                  </a:lnTo>
                                  <a:lnTo>
                                    <a:pt x="131" y="3160"/>
                                  </a:lnTo>
                                  <a:lnTo>
                                    <a:pt x="103" y="3154"/>
                                  </a:lnTo>
                                  <a:lnTo>
                                    <a:pt x="78" y="3144"/>
                                  </a:lnTo>
                                  <a:lnTo>
                                    <a:pt x="58" y="3133"/>
                                  </a:lnTo>
                                  <a:lnTo>
                                    <a:pt x="41" y="3119"/>
                                  </a:lnTo>
                                  <a:lnTo>
                                    <a:pt x="28" y="3103"/>
                                  </a:lnTo>
                                  <a:lnTo>
                                    <a:pt x="17" y="3088"/>
                                  </a:lnTo>
                                  <a:lnTo>
                                    <a:pt x="8" y="3070"/>
                                  </a:lnTo>
                                  <a:lnTo>
                                    <a:pt x="3" y="3051"/>
                                  </a:lnTo>
                                  <a:lnTo>
                                    <a:pt x="0" y="3031"/>
                                  </a:lnTo>
                                  <a:lnTo>
                                    <a:pt x="0" y="3011"/>
                                  </a:lnTo>
                                  <a:lnTo>
                                    <a:pt x="0" y="2991"/>
                                  </a:lnTo>
                                  <a:lnTo>
                                    <a:pt x="3" y="2971"/>
                                  </a:lnTo>
                                  <a:lnTo>
                                    <a:pt x="7" y="2952"/>
                                  </a:lnTo>
                                  <a:lnTo>
                                    <a:pt x="12" y="2933"/>
                                  </a:lnTo>
                                  <a:lnTo>
                                    <a:pt x="15" y="2922"/>
                                  </a:lnTo>
                                  <a:lnTo>
                                    <a:pt x="19" y="2906"/>
                                  </a:lnTo>
                                  <a:lnTo>
                                    <a:pt x="25" y="2885"/>
                                  </a:lnTo>
                                  <a:lnTo>
                                    <a:pt x="33" y="2858"/>
                                  </a:lnTo>
                                  <a:lnTo>
                                    <a:pt x="41" y="2827"/>
                                  </a:lnTo>
                                  <a:lnTo>
                                    <a:pt x="51" y="2790"/>
                                  </a:lnTo>
                                  <a:lnTo>
                                    <a:pt x="62" y="2749"/>
                                  </a:lnTo>
                                  <a:lnTo>
                                    <a:pt x="74" y="2704"/>
                                  </a:lnTo>
                                  <a:lnTo>
                                    <a:pt x="88" y="2656"/>
                                  </a:lnTo>
                                  <a:lnTo>
                                    <a:pt x="102" y="2605"/>
                                  </a:lnTo>
                                  <a:lnTo>
                                    <a:pt x="116" y="2550"/>
                                  </a:lnTo>
                                  <a:lnTo>
                                    <a:pt x="132" y="2494"/>
                                  </a:lnTo>
                                  <a:lnTo>
                                    <a:pt x="148" y="2434"/>
                                  </a:lnTo>
                                  <a:lnTo>
                                    <a:pt x="165" y="2372"/>
                                  </a:lnTo>
                                  <a:lnTo>
                                    <a:pt x="182" y="2310"/>
                                  </a:lnTo>
                                  <a:lnTo>
                                    <a:pt x="199" y="2246"/>
                                  </a:lnTo>
                                  <a:lnTo>
                                    <a:pt x="217" y="2181"/>
                                  </a:lnTo>
                                  <a:lnTo>
                                    <a:pt x="235" y="2115"/>
                                  </a:lnTo>
                                  <a:lnTo>
                                    <a:pt x="252" y="2049"/>
                                  </a:lnTo>
                                  <a:lnTo>
                                    <a:pt x="270" y="1983"/>
                                  </a:lnTo>
                                  <a:lnTo>
                                    <a:pt x="288" y="1917"/>
                                  </a:lnTo>
                                  <a:lnTo>
                                    <a:pt x="306" y="1852"/>
                                  </a:lnTo>
                                  <a:lnTo>
                                    <a:pt x="323" y="1788"/>
                                  </a:lnTo>
                                  <a:lnTo>
                                    <a:pt x="340" y="1726"/>
                                  </a:lnTo>
                                  <a:lnTo>
                                    <a:pt x="356" y="1665"/>
                                  </a:lnTo>
                                  <a:lnTo>
                                    <a:pt x="372" y="1607"/>
                                  </a:lnTo>
                                  <a:lnTo>
                                    <a:pt x="387" y="1550"/>
                                  </a:lnTo>
                                  <a:lnTo>
                                    <a:pt x="401" y="1498"/>
                                  </a:lnTo>
                                  <a:lnTo>
                                    <a:pt x="415" y="1448"/>
                                  </a:lnTo>
                                  <a:lnTo>
                                    <a:pt x="428" y="1401"/>
                                  </a:lnTo>
                                  <a:lnTo>
                                    <a:pt x="439" y="1358"/>
                                  </a:lnTo>
                                  <a:lnTo>
                                    <a:pt x="450" y="1319"/>
                                  </a:lnTo>
                                  <a:lnTo>
                                    <a:pt x="459" y="1284"/>
                                  </a:lnTo>
                                  <a:lnTo>
                                    <a:pt x="467" y="1254"/>
                                  </a:lnTo>
                                  <a:lnTo>
                                    <a:pt x="474" y="1230"/>
                                  </a:lnTo>
                                  <a:lnTo>
                                    <a:pt x="480" y="1210"/>
                                  </a:lnTo>
                                  <a:lnTo>
                                    <a:pt x="492" y="1167"/>
                                  </a:lnTo>
                                  <a:lnTo>
                                    <a:pt x="509" y="1129"/>
                                  </a:lnTo>
                                  <a:lnTo>
                                    <a:pt x="528" y="1096"/>
                                  </a:lnTo>
                                  <a:lnTo>
                                    <a:pt x="551" y="1067"/>
                                  </a:lnTo>
                                  <a:lnTo>
                                    <a:pt x="574" y="1042"/>
                                  </a:lnTo>
                                  <a:lnTo>
                                    <a:pt x="600" y="1021"/>
                                  </a:lnTo>
                                  <a:lnTo>
                                    <a:pt x="628" y="1004"/>
                                  </a:lnTo>
                                  <a:lnTo>
                                    <a:pt x="657" y="990"/>
                                  </a:lnTo>
                                  <a:lnTo>
                                    <a:pt x="689" y="978"/>
                                  </a:lnTo>
                                  <a:lnTo>
                                    <a:pt x="722" y="971"/>
                                  </a:lnTo>
                                  <a:lnTo>
                                    <a:pt x="756" y="965"/>
                                  </a:lnTo>
                                  <a:lnTo>
                                    <a:pt x="790" y="962"/>
                                  </a:lnTo>
                                  <a:lnTo>
                                    <a:pt x="826" y="962"/>
                                  </a:lnTo>
                                  <a:lnTo>
                                    <a:pt x="1296" y="962"/>
                                  </a:lnTo>
                                  <a:lnTo>
                                    <a:pt x="1296" y="784"/>
                                  </a:lnTo>
                                  <a:lnTo>
                                    <a:pt x="1206" y="777"/>
                                  </a:lnTo>
                                  <a:lnTo>
                                    <a:pt x="1120" y="767"/>
                                  </a:lnTo>
                                  <a:lnTo>
                                    <a:pt x="1040" y="753"/>
                                  </a:lnTo>
                                  <a:lnTo>
                                    <a:pt x="962" y="738"/>
                                  </a:lnTo>
                                  <a:lnTo>
                                    <a:pt x="889" y="718"/>
                                  </a:lnTo>
                                  <a:lnTo>
                                    <a:pt x="820" y="697"/>
                                  </a:lnTo>
                                  <a:lnTo>
                                    <a:pt x="755" y="673"/>
                                  </a:lnTo>
                                  <a:lnTo>
                                    <a:pt x="693" y="646"/>
                                  </a:lnTo>
                                  <a:lnTo>
                                    <a:pt x="636" y="618"/>
                                  </a:lnTo>
                                  <a:lnTo>
                                    <a:pt x="581" y="589"/>
                                  </a:lnTo>
                                  <a:lnTo>
                                    <a:pt x="530" y="557"/>
                                  </a:lnTo>
                                  <a:lnTo>
                                    <a:pt x="483" y="525"/>
                                  </a:lnTo>
                                  <a:lnTo>
                                    <a:pt x="438" y="493"/>
                                  </a:lnTo>
                                  <a:lnTo>
                                    <a:pt x="397" y="458"/>
                                  </a:lnTo>
                                  <a:lnTo>
                                    <a:pt x="359" y="424"/>
                                  </a:lnTo>
                                  <a:lnTo>
                                    <a:pt x="323" y="390"/>
                                  </a:lnTo>
                                  <a:lnTo>
                                    <a:pt x="291" y="355"/>
                                  </a:lnTo>
                                  <a:lnTo>
                                    <a:pt x="261" y="321"/>
                                  </a:lnTo>
                                  <a:lnTo>
                                    <a:pt x="234" y="287"/>
                                  </a:lnTo>
                                  <a:lnTo>
                                    <a:pt x="210" y="255"/>
                                  </a:lnTo>
                                  <a:lnTo>
                                    <a:pt x="187" y="222"/>
                                  </a:lnTo>
                                  <a:lnTo>
                                    <a:pt x="167" y="192"/>
                                  </a:lnTo>
                                  <a:lnTo>
                                    <a:pt x="149" y="163"/>
                                  </a:lnTo>
                                  <a:lnTo>
                                    <a:pt x="134" y="134"/>
                                  </a:lnTo>
                                  <a:lnTo>
                                    <a:pt x="121" y="109"/>
                                  </a:lnTo>
                                  <a:lnTo>
                                    <a:pt x="109" y="85"/>
                                  </a:lnTo>
                                  <a:lnTo>
                                    <a:pt x="100" y="64"/>
                                  </a:lnTo>
                                  <a:lnTo>
                                    <a:pt x="92" y="45"/>
                                  </a:lnTo>
                                  <a:lnTo>
                                    <a:pt x="86" y="30"/>
                                  </a:lnTo>
                                  <a:lnTo>
                                    <a:pt x="80" y="17"/>
                                  </a:lnTo>
                                  <a:lnTo>
                                    <a:pt x="77" y="8"/>
                                  </a:lnTo>
                                  <a:lnTo>
                                    <a:pt x="76" y="2"/>
                                  </a:lnTo>
                                  <a:lnTo>
                                    <a:pt x="75" y="0"/>
                                  </a:lnTo>
                                  <a:close/>
                                </a:path>
                              </a:pathLst>
                            </a:custGeom>
                            <a:solidFill>
                              <a:srgbClr val="FBAE17"/>
                            </a:solidFill>
                            <a:ln w="0">
                              <a:no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238724" y="213832"/>
                              <a:ext cx="8" cy="6"/>
                            </a:xfrm>
                            <a:custGeom>
                              <a:avLst/>
                              <a:gdLst>
                                <a:gd name="T0" fmla="*/ 28 w 123"/>
                                <a:gd name="T1" fmla="*/ 0 h 105"/>
                                <a:gd name="T2" fmla="*/ 123 w 123"/>
                                <a:gd name="T3" fmla="*/ 66 h 105"/>
                                <a:gd name="T4" fmla="*/ 108 w 123"/>
                                <a:gd name="T5" fmla="*/ 85 h 105"/>
                                <a:gd name="T6" fmla="*/ 93 w 123"/>
                                <a:gd name="T7" fmla="*/ 105 h 105"/>
                                <a:gd name="T8" fmla="*/ 0 w 123"/>
                                <a:gd name="T9" fmla="*/ 39 h 105"/>
                                <a:gd name="T10" fmla="*/ 28 w 123"/>
                                <a:gd name="T11" fmla="*/ 0 h 105"/>
                              </a:gdLst>
                              <a:ahLst/>
                              <a:cxnLst>
                                <a:cxn ang="0">
                                  <a:pos x="T0" y="T1"/>
                                </a:cxn>
                                <a:cxn ang="0">
                                  <a:pos x="T2" y="T3"/>
                                </a:cxn>
                                <a:cxn ang="0">
                                  <a:pos x="T4" y="T5"/>
                                </a:cxn>
                                <a:cxn ang="0">
                                  <a:pos x="T6" y="T7"/>
                                </a:cxn>
                                <a:cxn ang="0">
                                  <a:pos x="T8" y="T9"/>
                                </a:cxn>
                                <a:cxn ang="0">
                                  <a:pos x="T10" y="T11"/>
                                </a:cxn>
                              </a:cxnLst>
                              <a:rect l="0" t="0" r="r" b="b"/>
                              <a:pathLst>
                                <a:path w="123" h="105">
                                  <a:moveTo>
                                    <a:pt x="28" y="0"/>
                                  </a:moveTo>
                                  <a:lnTo>
                                    <a:pt x="123" y="66"/>
                                  </a:lnTo>
                                  <a:lnTo>
                                    <a:pt x="108" y="85"/>
                                  </a:lnTo>
                                  <a:lnTo>
                                    <a:pt x="93" y="105"/>
                                  </a:lnTo>
                                  <a:lnTo>
                                    <a:pt x="0" y="39"/>
                                  </a:lnTo>
                                  <a:lnTo>
                                    <a:pt x="28" y="0"/>
                                  </a:lnTo>
                                  <a:close/>
                                </a:path>
                              </a:pathLst>
                            </a:custGeom>
                            <a:solidFill>
                              <a:srgbClr val="E8941A"/>
                            </a:solidFill>
                            <a:ln w="0">
                              <a:no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238742" y="213817"/>
                              <a:ext cx="6" cy="8"/>
                            </a:xfrm>
                            <a:custGeom>
                              <a:avLst/>
                              <a:gdLst>
                                <a:gd name="T0" fmla="*/ 44 w 96"/>
                                <a:gd name="T1" fmla="*/ 0 h 127"/>
                                <a:gd name="T2" fmla="*/ 96 w 96"/>
                                <a:gd name="T3" fmla="*/ 104 h 127"/>
                                <a:gd name="T4" fmla="*/ 74 w 96"/>
                                <a:gd name="T5" fmla="*/ 114 h 127"/>
                                <a:gd name="T6" fmla="*/ 53 w 96"/>
                                <a:gd name="T7" fmla="*/ 127 h 127"/>
                                <a:gd name="T8" fmla="*/ 0 w 96"/>
                                <a:gd name="T9" fmla="*/ 21 h 127"/>
                                <a:gd name="T10" fmla="*/ 44 w 96"/>
                                <a:gd name="T11" fmla="*/ 0 h 127"/>
                              </a:gdLst>
                              <a:ahLst/>
                              <a:cxnLst>
                                <a:cxn ang="0">
                                  <a:pos x="T0" y="T1"/>
                                </a:cxn>
                                <a:cxn ang="0">
                                  <a:pos x="T2" y="T3"/>
                                </a:cxn>
                                <a:cxn ang="0">
                                  <a:pos x="T4" y="T5"/>
                                </a:cxn>
                                <a:cxn ang="0">
                                  <a:pos x="T6" y="T7"/>
                                </a:cxn>
                                <a:cxn ang="0">
                                  <a:pos x="T8" y="T9"/>
                                </a:cxn>
                                <a:cxn ang="0">
                                  <a:pos x="T10" y="T11"/>
                                </a:cxn>
                              </a:cxnLst>
                              <a:rect l="0" t="0" r="r" b="b"/>
                              <a:pathLst>
                                <a:path w="96" h="127">
                                  <a:moveTo>
                                    <a:pt x="44" y="0"/>
                                  </a:moveTo>
                                  <a:lnTo>
                                    <a:pt x="96" y="104"/>
                                  </a:lnTo>
                                  <a:lnTo>
                                    <a:pt x="74" y="114"/>
                                  </a:lnTo>
                                  <a:lnTo>
                                    <a:pt x="53" y="127"/>
                                  </a:lnTo>
                                  <a:lnTo>
                                    <a:pt x="0" y="21"/>
                                  </a:lnTo>
                                  <a:lnTo>
                                    <a:pt x="44" y="0"/>
                                  </a:lnTo>
                                  <a:close/>
                                </a:path>
                              </a:pathLst>
                            </a:custGeom>
                            <a:solidFill>
                              <a:srgbClr val="E8941A"/>
                            </a:solidFill>
                            <a:ln w="0">
                              <a:no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238716" y="213860"/>
                              <a:ext cx="7" cy="3"/>
                            </a:xfrm>
                            <a:custGeom>
                              <a:avLst/>
                              <a:gdLst>
                                <a:gd name="T0" fmla="*/ 0 w 119"/>
                                <a:gd name="T1" fmla="*/ 0 h 48"/>
                                <a:gd name="T2" fmla="*/ 118 w 119"/>
                                <a:gd name="T3" fmla="*/ 0 h 48"/>
                                <a:gd name="T4" fmla="*/ 117 w 119"/>
                                <a:gd name="T5" fmla="*/ 5 h 48"/>
                                <a:gd name="T6" fmla="*/ 117 w 119"/>
                                <a:gd name="T7" fmla="*/ 10 h 48"/>
                                <a:gd name="T8" fmla="*/ 116 w 119"/>
                                <a:gd name="T9" fmla="*/ 15 h 48"/>
                                <a:gd name="T10" fmla="*/ 118 w 119"/>
                                <a:gd name="T11" fmla="*/ 32 h 48"/>
                                <a:gd name="T12" fmla="*/ 119 w 119"/>
                                <a:gd name="T13" fmla="*/ 48 h 48"/>
                                <a:gd name="T14" fmla="*/ 0 w 119"/>
                                <a:gd name="T15" fmla="*/ 48 h 48"/>
                                <a:gd name="T16" fmla="*/ 0 w 119"/>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 h="48">
                                  <a:moveTo>
                                    <a:pt x="0" y="0"/>
                                  </a:moveTo>
                                  <a:lnTo>
                                    <a:pt x="118" y="0"/>
                                  </a:lnTo>
                                  <a:lnTo>
                                    <a:pt x="117" y="5"/>
                                  </a:lnTo>
                                  <a:lnTo>
                                    <a:pt x="117" y="10"/>
                                  </a:lnTo>
                                  <a:lnTo>
                                    <a:pt x="116" y="15"/>
                                  </a:lnTo>
                                  <a:lnTo>
                                    <a:pt x="118" y="32"/>
                                  </a:lnTo>
                                  <a:lnTo>
                                    <a:pt x="119" y="48"/>
                                  </a:lnTo>
                                  <a:lnTo>
                                    <a:pt x="0" y="48"/>
                                  </a:lnTo>
                                  <a:lnTo>
                                    <a:pt x="0" y="0"/>
                                  </a:lnTo>
                                  <a:close/>
                                </a:path>
                              </a:pathLst>
                            </a:custGeom>
                            <a:solidFill>
                              <a:srgbClr val="E8941A"/>
                            </a:solidFill>
                            <a:ln w="0">
                              <a:no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238801" y="213837"/>
                              <a:ext cx="9" cy="6"/>
                            </a:xfrm>
                            <a:custGeom>
                              <a:avLst/>
                              <a:gdLst>
                                <a:gd name="T0" fmla="*/ 120 w 144"/>
                                <a:gd name="T1" fmla="*/ 0 h 107"/>
                                <a:gd name="T2" fmla="*/ 144 w 144"/>
                                <a:gd name="T3" fmla="*/ 42 h 107"/>
                                <a:gd name="T4" fmla="*/ 23 w 144"/>
                                <a:gd name="T5" fmla="*/ 107 h 107"/>
                                <a:gd name="T6" fmla="*/ 0 w 144"/>
                                <a:gd name="T7" fmla="*/ 65 h 107"/>
                                <a:gd name="T8" fmla="*/ 120 w 144"/>
                                <a:gd name="T9" fmla="*/ 0 h 107"/>
                              </a:gdLst>
                              <a:ahLst/>
                              <a:cxnLst>
                                <a:cxn ang="0">
                                  <a:pos x="T0" y="T1"/>
                                </a:cxn>
                                <a:cxn ang="0">
                                  <a:pos x="T2" y="T3"/>
                                </a:cxn>
                                <a:cxn ang="0">
                                  <a:pos x="T4" y="T5"/>
                                </a:cxn>
                                <a:cxn ang="0">
                                  <a:pos x="T6" y="T7"/>
                                </a:cxn>
                                <a:cxn ang="0">
                                  <a:pos x="T8" y="T9"/>
                                </a:cxn>
                              </a:cxnLst>
                              <a:rect l="0" t="0" r="r" b="b"/>
                              <a:pathLst>
                                <a:path w="144" h="107">
                                  <a:moveTo>
                                    <a:pt x="120" y="0"/>
                                  </a:moveTo>
                                  <a:lnTo>
                                    <a:pt x="144" y="42"/>
                                  </a:lnTo>
                                  <a:lnTo>
                                    <a:pt x="23" y="107"/>
                                  </a:lnTo>
                                  <a:lnTo>
                                    <a:pt x="0" y="65"/>
                                  </a:lnTo>
                                  <a:lnTo>
                                    <a:pt x="120" y="0"/>
                                  </a:lnTo>
                                  <a:close/>
                                </a:path>
                              </a:pathLst>
                            </a:custGeom>
                            <a:solidFill>
                              <a:srgbClr val="E8941A"/>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238786" y="213819"/>
                              <a:ext cx="7" cy="8"/>
                            </a:xfrm>
                            <a:custGeom>
                              <a:avLst/>
                              <a:gdLst>
                                <a:gd name="T0" fmla="*/ 68 w 109"/>
                                <a:gd name="T1" fmla="*/ 0 h 134"/>
                                <a:gd name="T2" fmla="*/ 109 w 109"/>
                                <a:gd name="T3" fmla="*/ 24 h 134"/>
                                <a:gd name="T4" fmla="*/ 42 w 109"/>
                                <a:gd name="T5" fmla="*/ 134 h 134"/>
                                <a:gd name="T6" fmla="*/ 22 w 109"/>
                                <a:gd name="T7" fmla="*/ 121 h 134"/>
                                <a:gd name="T8" fmla="*/ 0 w 109"/>
                                <a:gd name="T9" fmla="*/ 110 h 134"/>
                                <a:gd name="T10" fmla="*/ 68 w 109"/>
                                <a:gd name="T11" fmla="*/ 0 h 134"/>
                              </a:gdLst>
                              <a:ahLst/>
                              <a:cxnLst>
                                <a:cxn ang="0">
                                  <a:pos x="T0" y="T1"/>
                                </a:cxn>
                                <a:cxn ang="0">
                                  <a:pos x="T2" y="T3"/>
                                </a:cxn>
                                <a:cxn ang="0">
                                  <a:pos x="T4" y="T5"/>
                                </a:cxn>
                                <a:cxn ang="0">
                                  <a:pos x="T6" y="T7"/>
                                </a:cxn>
                                <a:cxn ang="0">
                                  <a:pos x="T8" y="T9"/>
                                </a:cxn>
                                <a:cxn ang="0">
                                  <a:pos x="T10" y="T11"/>
                                </a:cxn>
                              </a:cxnLst>
                              <a:rect l="0" t="0" r="r" b="b"/>
                              <a:pathLst>
                                <a:path w="109" h="134">
                                  <a:moveTo>
                                    <a:pt x="68" y="0"/>
                                  </a:moveTo>
                                  <a:lnTo>
                                    <a:pt x="109" y="24"/>
                                  </a:lnTo>
                                  <a:lnTo>
                                    <a:pt x="42" y="134"/>
                                  </a:lnTo>
                                  <a:lnTo>
                                    <a:pt x="22" y="121"/>
                                  </a:lnTo>
                                  <a:lnTo>
                                    <a:pt x="0" y="110"/>
                                  </a:lnTo>
                                  <a:lnTo>
                                    <a:pt x="68" y="0"/>
                                  </a:lnTo>
                                  <a:close/>
                                </a:path>
                              </a:pathLst>
                            </a:custGeom>
                            <a:solidFill>
                              <a:srgbClr val="E8941A"/>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238764" y="213812"/>
                              <a:ext cx="3" cy="8"/>
                            </a:xfrm>
                            <a:custGeom>
                              <a:avLst/>
                              <a:gdLst>
                                <a:gd name="T0" fmla="*/ 0 w 49"/>
                                <a:gd name="T1" fmla="*/ 0 h 123"/>
                                <a:gd name="T2" fmla="*/ 49 w 49"/>
                                <a:gd name="T3" fmla="*/ 0 h 123"/>
                                <a:gd name="T4" fmla="*/ 49 w 49"/>
                                <a:gd name="T5" fmla="*/ 123 h 123"/>
                                <a:gd name="T6" fmla="*/ 31 w 49"/>
                                <a:gd name="T7" fmla="*/ 121 h 123"/>
                                <a:gd name="T8" fmla="*/ 11 w 49"/>
                                <a:gd name="T9" fmla="*/ 119 h 123"/>
                                <a:gd name="T10" fmla="*/ 8 w 49"/>
                                <a:gd name="T11" fmla="*/ 119 h 123"/>
                                <a:gd name="T12" fmla="*/ 4 w 49"/>
                                <a:gd name="T13" fmla="*/ 119 h 123"/>
                                <a:gd name="T14" fmla="*/ 0 w 49"/>
                                <a:gd name="T15" fmla="*/ 121 h 123"/>
                                <a:gd name="T16" fmla="*/ 0 w 49"/>
                                <a:gd name="T17"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 h="123">
                                  <a:moveTo>
                                    <a:pt x="0" y="0"/>
                                  </a:moveTo>
                                  <a:lnTo>
                                    <a:pt x="49" y="0"/>
                                  </a:lnTo>
                                  <a:lnTo>
                                    <a:pt x="49" y="123"/>
                                  </a:lnTo>
                                  <a:lnTo>
                                    <a:pt x="31" y="121"/>
                                  </a:lnTo>
                                  <a:lnTo>
                                    <a:pt x="11" y="119"/>
                                  </a:lnTo>
                                  <a:lnTo>
                                    <a:pt x="8" y="119"/>
                                  </a:lnTo>
                                  <a:lnTo>
                                    <a:pt x="4" y="119"/>
                                  </a:lnTo>
                                  <a:lnTo>
                                    <a:pt x="0" y="121"/>
                                  </a:lnTo>
                                  <a:lnTo>
                                    <a:pt x="0" y="0"/>
                                  </a:lnTo>
                                  <a:close/>
                                </a:path>
                              </a:pathLst>
                            </a:custGeom>
                            <a:solidFill>
                              <a:srgbClr val="E8941A"/>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238783" y="213897"/>
                              <a:ext cx="6" cy="10"/>
                            </a:xfrm>
                            <a:custGeom>
                              <a:avLst/>
                              <a:gdLst>
                                <a:gd name="T0" fmla="*/ 41 w 106"/>
                                <a:gd name="T1" fmla="*/ 0 h 149"/>
                                <a:gd name="T2" fmla="*/ 106 w 106"/>
                                <a:gd name="T3" fmla="*/ 128 h 149"/>
                                <a:gd name="T4" fmla="*/ 63 w 106"/>
                                <a:gd name="T5" fmla="*/ 149 h 149"/>
                                <a:gd name="T6" fmla="*/ 0 w 106"/>
                                <a:gd name="T7" fmla="*/ 23 h 149"/>
                                <a:gd name="T8" fmla="*/ 21 w 106"/>
                                <a:gd name="T9" fmla="*/ 12 h 149"/>
                                <a:gd name="T10" fmla="*/ 41 w 106"/>
                                <a:gd name="T11" fmla="*/ 0 h 149"/>
                              </a:gdLst>
                              <a:ahLst/>
                              <a:cxnLst>
                                <a:cxn ang="0">
                                  <a:pos x="T0" y="T1"/>
                                </a:cxn>
                                <a:cxn ang="0">
                                  <a:pos x="T2" y="T3"/>
                                </a:cxn>
                                <a:cxn ang="0">
                                  <a:pos x="T4" y="T5"/>
                                </a:cxn>
                                <a:cxn ang="0">
                                  <a:pos x="T6" y="T7"/>
                                </a:cxn>
                                <a:cxn ang="0">
                                  <a:pos x="T8" y="T9"/>
                                </a:cxn>
                                <a:cxn ang="0">
                                  <a:pos x="T10" y="T11"/>
                                </a:cxn>
                              </a:cxnLst>
                              <a:rect l="0" t="0" r="r" b="b"/>
                              <a:pathLst>
                                <a:path w="106" h="149">
                                  <a:moveTo>
                                    <a:pt x="41" y="0"/>
                                  </a:moveTo>
                                  <a:lnTo>
                                    <a:pt x="106" y="128"/>
                                  </a:lnTo>
                                  <a:lnTo>
                                    <a:pt x="63" y="149"/>
                                  </a:lnTo>
                                  <a:lnTo>
                                    <a:pt x="0" y="23"/>
                                  </a:lnTo>
                                  <a:lnTo>
                                    <a:pt x="21" y="12"/>
                                  </a:lnTo>
                                  <a:lnTo>
                                    <a:pt x="41" y="0"/>
                                  </a:lnTo>
                                  <a:close/>
                                </a:path>
                              </a:pathLst>
                            </a:custGeom>
                            <a:solidFill>
                              <a:srgbClr val="E8941A"/>
                            </a:solidFill>
                            <a:ln w="0">
                              <a:no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238798" y="213884"/>
                              <a:ext cx="9" cy="8"/>
                            </a:xfrm>
                            <a:custGeom>
                              <a:avLst/>
                              <a:gdLst>
                                <a:gd name="T0" fmla="*/ 29 w 146"/>
                                <a:gd name="T1" fmla="*/ 0 h 121"/>
                                <a:gd name="T2" fmla="*/ 146 w 146"/>
                                <a:gd name="T3" fmla="*/ 83 h 121"/>
                                <a:gd name="T4" fmla="*/ 119 w 146"/>
                                <a:gd name="T5" fmla="*/ 121 h 121"/>
                                <a:gd name="T6" fmla="*/ 0 w 146"/>
                                <a:gd name="T7" fmla="*/ 38 h 121"/>
                                <a:gd name="T8" fmla="*/ 15 w 146"/>
                                <a:gd name="T9" fmla="*/ 20 h 121"/>
                                <a:gd name="T10" fmla="*/ 29 w 146"/>
                                <a:gd name="T11" fmla="*/ 0 h 121"/>
                              </a:gdLst>
                              <a:ahLst/>
                              <a:cxnLst>
                                <a:cxn ang="0">
                                  <a:pos x="T0" y="T1"/>
                                </a:cxn>
                                <a:cxn ang="0">
                                  <a:pos x="T2" y="T3"/>
                                </a:cxn>
                                <a:cxn ang="0">
                                  <a:pos x="T4" y="T5"/>
                                </a:cxn>
                                <a:cxn ang="0">
                                  <a:pos x="T6" y="T7"/>
                                </a:cxn>
                                <a:cxn ang="0">
                                  <a:pos x="T8" y="T9"/>
                                </a:cxn>
                                <a:cxn ang="0">
                                  <a:pos x="T10" y="T11"/>
                                </a:cxn>
                              </a:cxnLst>
                              <a:rect l="0" t="0" r="r" b="b"/>
                              <a:pathLst>
                                <a:path w="146" h="121">
                                  <a:moveTo>
                                    <a:pt x="29" y="0"/>
                                  </a:moveTo>
                                  <a:lnTo>
                                    <a:pt x="146" y="83"/>
                                  </a:lnTo>
                                  <a:lnTo>
                                    <a:pt x="119" y="121"/>
                                  </a:lnTo>
                                  <a:lnTo>
                                    <a:pt x="0" y="38"/>
                                  </a:lnTo>
                                  <a:lnTo>
                                    <a:pt x="15" y="20"/>
                                  </a:lnTo>
                                  <a:lnTo>
                                    <a:pt x="29" y="0"/>
                                  </a:lnTo>
                                  <a:close/>
                                </a:path>
                              </a:pathLst>
                            </a:custGeom>
                            <a:solidFill>
                              <a:srgbClr val="E8941A"/>
                            </a:solidFill>
                            <a:ln w="0">
                              <a:no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238807" y="213860"/>
                              <a:ext cx="9" cy="3"/>
                            </a:xfrm>
                            <a:custGeom>
                              <a:avLst/>
                              <a:gdLst>
                                <a:gd name="T0" fmla="*/ 2 w 144"/>
                                <a:gd name="T1" fmla="*/ 0 h 48"/>
                                <a:gd name="T2" fmla="*/ 144 w 144"/>
                                <a:gd name="T3" fmla="*/ 0 h 48"/>
                                <a:gd name="T4" fmla="*/ 144 w 144"/>
                                <a:gd name="T5" fmla="*/ 48 h 48"/>
                                <a:gd name="T6" fmla="*/ 0 w 144"/>
                                <a:gd name="T7" fmla="*/ 48 h 48"/>
                                <a:gd name="T8" fmla="*/ 2 w 144"/>
                                <a:gd name="T9" fmla="*/ 32 h 48"/>
                                <a:gd name="T10" fmla="*/ 3 w 144"/>
                                <a:gd name="T11" fmla="*/ 15 h 48"/>
                                <a:gd name="T12" fmla="*/ 3 w 144"/>
                                <a:gd name="T13" fmla="*/ 10 h 48"/>
                                <a:gd name="T14" fmla="*/ 2 w 144"/>
                                <a:gd name="T15" fmla="*/ 5 h 48"/>
                                <a:gd name="T16" fmla="*/ 2 w 144"/>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4" h="48">
                                  <a:moveTo>
                                    <a:pt x="2" y="0"/>
                                  </a:moveTo>
                                  <a:lnTo>
                                    <a:pt x="144" y="0"/>
                                  </a:lnTo>
                                  <a:lnTo>
                                    <a:pt x="144" y="48"/>
                                  </a:lnTo>
                                  <a:lnTo>
                                    <a:pt x="0" y="48"/>
                                  </a:lnTo>
                                  <a:lnTo>
                                    <a:pt x="2" y="32"/>
                                  </a:lnTo>
                                  <a:lnTo>
                                    <a:pt x="3" y="15"/>
                                  </a:lnTo>
                                  <a:lnTo>
                                    <a:pt x="3" y="10"/>
                                  </a:lnTo>
                                  <a:lnTo>
                                    <a:pt x="2" y="5"/>
                                  </a:lnTo>
                                  <a:lnTo>
                                    <a:pt x="2" y="0"/>
                                  </a:lnTo>
                                  <a:close/>
                                </a:path>
                              </a:pathLst>
                            </a:custGeom>
                            <a:solidFill>
                              <a:srgbClr val="E8941A"/>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238764" y="213902"/>
                              <a:ext cx="3" cy="9"/>
                            </a:xfrm>
                            <a:custGeom>
                              <a:avLst/>
                              <a:gdLst>
                                <a:gd name="T0" fmla="*/ 49 w 49"/>
                                <a:gd name="T1" fmla="*/ 0 h 140"/>
                                <a:gd name="T2" fmla="*/ 49 w 49"/>
                                <a:gd name="T3" fmla="*/ 140 h 140"/>
                                <a:gd name="T4" fmla="*/ 0 w 49"/>
                                <a:gd name="T5" fmla="*/ 140 h 140"/>
                                <a:gd name="T6" fmla="*/ 0 w 49"/>
                                <a:gd name="T7" fmla="*/ 2 h 140"/>
                                <a:gd name="T8" fmla="*/ 4 w 49"/>
                                <a:gd name="T9" fmla="*/ 3 h 140"/>
                                <a:gd name="T10" fmla="*/ 8 w 49"/>
                                <a:gd name="T11" fmla="*/ 3 h 140"/>
                                <a:gd name="T12" fmla="*/ 11 w 49"/>
                                <a:gd name="T13" fmla="*/ 3 h 140"/>
                                <a:gd name="T14" fmla="*/ 31 w 49"/>
                                <a:gd name="T15" fmla="*/ 2 h 140"/>
                                <a:gd name="T16" fmla="*/ 49 w 49"/>
                                <a:gd name="T17"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 h="140">
                                  <a:moveTo>
                                    <a:pt x="49" y="0"/>
                                  </a:moveTo>
                                  <a:lnTo>
                                    <a:pt x="49" y="140"/>
                                  </a:lnTo>
                                  <a:lnTo>
                                    <a:pt x="0" y="140"/>
                                  </a:lnTo>
                                  <a:lnTo>
                                    <a:pt x="0" y="2"/>
                                  </a:lnTo>
                                  <a:lnTo>
                                    <a:pt x="4" y="3"/>
                                  </a:lnTo>
                                  <a:lnTo>
                                    <a:pt x="8" y="3"/>
                                  </a:lnTo>
                                  <a:lnTo>
                                    <a:pt x="11" y="3"/>
                                  </a:lnTo>
                                  <a:lnTo>
                                    <a:pt x="31" y="2"/>
                                  </a:lnTo>
                                  <a:lnTo>
                                    <a:pt x="49" y="0"/>
                                  </a:lnTo>
                                  <a:close/>
                                </a:path>
                              </a:pathLst>
                            </a:custGeom>
                            <a:solidFill>
                              <a:srgbClr val="E8941A"/>
                            </a:solidFill>
                            <a:ln w="0">
                              <a:no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238721" y="213880"/>
                              <a:ext cx="8" cy="7"/>
                            </a:xfrm>
                            <a:custGeom>
                              <a:avLst/>
                              <a:gdLst>
                                <a:gd name="T0" fmla="*/ 109 w 132"/>
                                <a:gd name="T1" fmla="*/ 0 h 101"/>
                                <a:gd name="T2" fmla="*/ 132 w 132"/>
                                <a:gd name="T3" fmla="*/ 42 h 101"/>
                                <a:gd name="T4" fmla="*/ 23 w 132"/>
                                <a:gd name="T5" fmla="*/ 101 h 101"/>
                                <a:gd name="T6" fmla="*/ 0 w 132"/>
                                <a:gd name="T7" fmla="*/ 59 h 101"/>
                                <a:gd name="T8" fmla="*/ 109 w 132"/>
                                <a:gd name="T9" fmla="*/ 0 h 101"/>
                              </a:gdLst>
                              <a:ahLst/>
                              <a:cxnLst>
                                <a:cxn ang="0">
                                  <a:pos x="T0" y="T1"/>
                                </a:cxn>
                                <a:cxn ang="0">
                                  <a:pos x="T2" y="T3"/>
                                </a:cxn>
                                <a:cxn ang="0">
                                  <a:pos x="T4" y="T5"/>
                                </a:cxn>
                                <a:cxn ang="0">
                                  <a:pos x="T6" y="T7"/>
                                </a:cxn>
                                <a:cxn ang="0">
                                  <a:pos x="T8" y="T9"/>
                                </a:cxn>
                              </a:cxnLst>
                              <a:rect l="0" t="0" r="r" b="b"/>
                              <a:pathLst>
                                <a:path w="132" h="101">
                                  <a:moveTo>
                                    <a:pt x="109" y="0"/>
                                  </a:moveTo>
                                  <a:lnTo>
                                    <a:pt x="132" y="42"/>
                                  </a:lnTo>
                                  <a:lnTo>
                                    <a:pt x="23" y="101"/>
                                  </a:lnTo>
                                  <a:lnTo>
                                    <a:pt x="0" y="59"/>
                                  </a:lnTo>
                                  <a:lnTo>
                                    <a:pt x="109" y="0"/>
                                  </a:lnTo>
                                  <a:close/>
                                </a:path>
                              </a:pathLst>
                            </a:custGeom>
                            <a:solidFill>
                              <a:srgbClr val="E8941A"/>
                            </a:solidFill>
                            <a:ln w="0">
                              <a:no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238739" y="213896"/>
                              <a:ext cx="6" cy="9"/>
                            </a:xfrm>
                            <a:custGeom>
                              <a:avLst/>
                              <a:gdLst>
                                <a:gd name="T0" fmla="*/ 68 w 110"/>
                                <a:gd name="T1" fmla="*/ 0 h 136"/>
                                <a:gd name="T2" fmla="*/ 89 w 110"/>
                                <a:gd name="T3" fmla="*/ 12 h 136"/>
                                <a:gd name="T4" fmla="*/ 110 w 110"/>
                                <a:gd name="T5" fmla="*/ 23 h 136"/>
                                <a:gd name="T6" fmla="*/ 41 w 110"/>
                                <a:gd name="T7" fmla="*/ 136 h 136"/>
                                <a:gd name="T8" fmla="*/ 0 w 110"/>
                                <a:gd name="T9" fmla="*/ 112 h 136"/>
                                <a:gd name="T10" fmla="*/ 68 w 110"/>
                                <a:gd name="T11" fmla="*/ 0 h 136"/>
                              </a:gdLst>
                              <a:ahLst/>
                              <a:cxnLst>
                                <a:cxn ang="0">
                                  <a:pos x="T0" y="T1"/>
                                </a:cxn>
                                <a:cxn ang="0">
                                  <a:pos x="T2" y="T3"/>
                                </a:cxn>
                                <a:cxn ang="0">
                                  <a:pos x="T4" y="T5"/>
                                </a:cxn>
                                <a:cxn ang="0">
                                  <a:pos x="T6" y="T7"/>
                                </a:cxn>
                                <a:cxn ang="0">
                                  <a:pos x="T8" y="T9"/>
                                </a:cxn>
                                <a:cxn ang="0">
                                  <a:pos x="T10" y="T11"/>
                                </a:cxn>
                              </a:cxnLst>
                              <a:rect l="0" t="0" r="r" b="b"/>
                              <a:pathLst>
                                <a:path w="110" h="136">
                                  <a:moveTo>
                                    <a:pt x="68" y="0"/>
                                  </a:moveTo>
                                  <a:lnTo>
                                    <a:pt x="89" y="12"/>
                                  </a:lnTo>
                                  <a:lnTo>
                                    <a:pt x="110" y="23"/>
                                  </a:lnTo>
                                  <a:lnTo>
                                    <a:pt x="41" y="136"/>
                                  </a:lnTo>
                                  <a:lnTo>
                                    <a:pt x="0" y="112"/>
                                  </a:lnTo>
                                  <a:lnTo>
                                    <a:pt x="68" y="0"/>
                                  </a:lnTo>
                                  <a:close/>
                                </a:path>
                              </a:pathLst>
                            </a:custGeom>
                            <a:solidFill>
                              <a:srgbClr val="E8941A"/>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noEditPoints="1"/>
                          </wps:cNvSpPr>
                          <wps:spPr bwMode="auto">
                            <a:xfrm>
                              <a:off x="238747" y="213850"/>
                              <a:ext cx="28" cy="42"/>
                            </a:xfrm>
                            <a:custGeom>
                              <a:avLst/>
                              <a:gdLst>
                                <a:gd name="T0" fmla="*/ 298 w 447"/>
                                <a:gd name="T1" fmla="*/ 104 h 671"/>
                                <a:gd name="T2" fmla="*/ 285 w 447"/>
                                <a:gd name="T3" fmla="*/ 106 h 671"/>
                                <a:gd name="T4" fmla="*/ 273 w 447"/>
                                <a:gd name="T5" fmla="*/ 112 h 671"/>
                                <a:gd name="T6" fmla="*/ 264 w 447"/>
                                <a:gd name="T7" fmla="*/ 122 h 671"/>
                                <a:gd name="T8" fmla="*/ 258 w 447"/>
                                <a:gd name="T9" fmla="*/ 133 h 671"/>
                                <a:gd name="T10" fmla="*/ 256 w 447"/>
                                <a:gd name="T11" fmla="*/ 146 h 671"/>
                                <a:gd name="T12" fmla="*/ 258 w 447"/>
                                <a:gd name="T13" fmla="*/ 159 h 671"/>
                                <a:gd name="T14" fmla="*/ 264 w 447"/>
                                <a:gd name="T15" fmla="*/ 171 h 671"/>
                                <a:gd name="T16" fmla="*/ 273 w 447"/>
                                <a:gd name="T17" fmla="*/ 180 h 671"/>
                                <a:gd name="T18" fmla="*/ 285 w 447"/>
                                <a:gd name="T19" fmla="*/ 186 h 671"/>
                                <a:gd name="T20" fmla="*/ 298 w 447"/>
                                <a:gd name="T21" fmla="*/ 189 h 671"/>
                                <a:gd name="T22" fmla="*/ 312 w 447"/>
                                <a:gd name="T23" fmla="*/ 186 h 671"/>
                                <a:gd name="T24" fmla="*/ 324 w 447"/>
                                <a:gd name="T25" fmla="*/ 180 h 671"/>
                                <a:gd name="T26" fmla="*/ 332 w 447"/>
                                <a:gd name="T27" fmla="*/ 171 h 671"/>
                                <a:gd name="T28" fmla="*/ 339 w 447"/>
                                <a:gd name="T29" fmla="*/ 159 h 671"/>
                                <a:gd name="T30" fmla="*/ 341 w 447"/>
                                <a:gd name="T31" fmla="*/ 146 h 671"/>
                                <a:gd name="T32" fmla="*/ 339 w 447"/>
                                <a:gd name="T33" fmla="*/ 133 h 671"/>
                                <a:gd name="T34" fmla="*/ 332 w 447"/>
                                <a:gd name="T35" fmla="*/ 122 h 671"/>
                                <a:gd name="T36" fmla="*/ 324 w 447"/>
                                <a:gd name="T37" fmla="*/ 112 h 671"/>
                                <a:gd name="T38" fmla="*/ 312 w 447"/>
                                <a:gd name="T39" fmla="*/ 106 h 671"/>
                                <a:gd name="T40" fmla="*/ 298 w 447"/>
                                <a:gd name="T41" fmla="*/ 104 h 671"/>
                                <a:gd name="T42" fmla="*/ 298 w 447"/>
                                <a:gd name="T43" fmla="*/ 0 h 671"/>
                                <a:gd name="T44" fmla="*/ 328 w 447"/>
                                <a:gd name="T45" fmla="*/ 2 h 671"/>
                                <a:gd name="T46" fmla="*/ 356 w 447"/>
                                <a:gd name="T47" fmla="*/ 12 h 671"/>
                                <a:gd name="T48" fmla="*/ 381 w 447"/>
                                <a:gd name="T49" fmla="*/ 25 h 671"/>
                                <a:gd name="T50" fmla="*/ 403 w 447"/>
                                <a:gd name="T51" fmla="*/ 43 h 671"/>
                                <a:gd name="T52" fmla="*/ 421 w 447"/>
                                <a:gd name="T53" fmla="*/ 64 h 671"/>
                                <a:gd name="T54" fmla="*/ 435 w 447"/>
                                <a:gd name="T55" fmla="*/ 89 h 671"/>
                                <a:gd name="T56" fmla="*/ 443 w 447"/>
                                <a:gd name="T57" fmla="*/ 116 h 671"/>
                                <a:gd name="T58" fmla="*/ 447 w 447"/>
                                <a:gd name="T59" fmla="*/ 146 h 671"/>
                                <a:gd name="T60" fmla="*/ 443 w 447"/>
                                <a:gd name="T61" fmla="*/ 176 h 671"/>
                                <a:gd name="T62" fmla="*/ 435 w 447"/>
                                <a:gd name="T63" fmla="*/ 203 h 671"/>
                                <a:gd name="T64" fmla="*/ 421 w 447"/>
                                <a:gd name="T65" fmla="*/ 227 h 671"/>
                                <a:gd name="T66" fmla="*/ 403 w 447"/>
                                <a:gd name="T67" fmla="*/ 249 h 671"/>
                                <a:gd name="T68" fmla="*/ 381 w 447"/>
                                <a:gd name="T69" fmla="*/ 267 h 671"/>
                                <a:gd name="T70" fmla="*/ 356 w 447"/>
                                <a:gd name="T71" fmla="*/ 281 h 671"/>
                                <a:gd name="T72" fmla="*/ 328 w 447"/>
                                <a:gd name="T73" fmla="*/ 289 h 671"/>
                                <a:gd name="T74" fmla="*/ 298 w 447"/>
                                <a:gd name="T75" fmla="*/ 292 h 671"/>
                                <a:gd name="T76" fmla="*/ 284 w 447"/>
                                <a:gd name="T77" fmla="*/ 290 h 671"/>
                                <a:gd name="T78" fmla="*/ 270 w 447"/>
                                <a:gd name="T79" fmla="*/ 287 h 671"/>
                                <a:gd name="T80" fmla="*/ 37 w 447"/>
                                <a:gd name="T81" fmla="*/ 671 h 671"/>
                                <a:gd name="T82" fmla="*/ 0 w 447"/>
                                <a:gd name="T83" fmla="*/ 650 h 671"/>
                                <a:gd name="T84" fmla="*/ 207 w 447"/>
                                <a:gd name="T85" fmla="*/ 259 h 671"/>
                                <a:gd name="T86" fmla="*/ 188 w 447"/>
                                <a:gd name="T87" fmla="*/ 241 h 671"/>
                                <a:gd name="T88" fmla="*/ 172 w 447"/>
                                <a:gd name="T89" fmla="*/ 221 h 671"/>
                                <a:gd name="T90" fmla="*/ 161 w 447"/>
                                <a:gd name="T91" fmla="*/ 198 h 671"/>
                                <a:gd name="T92" fmla="*/ 153 w 447"/>
                                <a:gd name="T93" fmla="*/ 173 h 671"/>
                                <a:gd name="T94" fmla="*/ 150 w 447"/>
                                <a:gd name="T95" fmla="*/ 146 h 671"/>
                                <a:gd name="T96" fmla="*/ 153 w 447"/>
                                <a:gd name="T97" fmla="*/ 116 h 671"/>
                                <a:gd name="T98" fmla="*/ 162 w 447"/>
                                <a:gd name="T99" fmla="*/ 89 h 671"/>
                                <a:gd name="T100" fmla="*/ 176 w 447"/>
                                <a:gd name="T101" fmla="*/ 64 h 671"/>
                                <a:gd name="T102" fmla="*/ 194 w 447"/>
                                <a:gd name="T103" fmla="*/ 43 h 671"/>
                                <a:gd name="T104" fmla="*/ 216 w 447"/>
                                <a:gd name="T105" fmla="*/ 25 h 671"/>
                                <a:gd name="T106" fmla="*/ 240 w 447"/>
                                <a:gd name="T107" fmla="*/ 12 h 671"/>
                                <a:gd name="T108" fmla="*/ 269 w 447"/>
                                <a:gd name="T109" fmla="*/ 2 h 671"/>
                                <a:gd name="T110" fmla="*/ 298 w 447"/>
                                <a:gd name="T111" fmla="*/ 0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47" h="671">
                                  <a:moveTo>
                                    <a:pt x="298" y="104"/>
                                  </a:moveTo>
                                  <a:lnTo>
                                    <a:pt x="285" y="106"/>
                                  </a:lnTo>
                                  <a:lnTo>
                                    <a:pt x="273" y="112"/>
                                  </a:lnTo>
                                  <a:lnTo>
                                    <a:pt x="264" y="122"/>
                                  </a:lnTo>
                                  <a:lnTo>
                                    <a:pt x="258" y="133"/>
                                  </a:lnTo>
                                  <a:lnTo>
                                    <a:pt x="256" y="146"/>
                                  </a:lnTo>
                                  <a:lnTo>
                                    <a:pt x="258" y="159"/>
                                  </a:lnTo>
                                  <a:lnTo>
                                    <a:pt x="264" y="171"/>
                                  </a:lnTo>
                                  <a:lnTo>
                                    <a:pt x="273" y="180"/>
                                  </a:lnTo>
                                  <a:lnTo>
                                    <a:pt x="285" y="186"/>
                                  </a:lnTo>
                                  <a:lnTo>
                                    <a:pt x="298" y="189"/>
                                  </a:lnTo>
                                  <a:lnTo>
                                    <a:pt x="312" y="186"/>
                                  </a:lnTo>
                                  <a:lnTo>
                                    <a:pt x="324" y="180"/>
                                  </a:lnTo>
                                  <a:lnTo>
                                    <a:pt x="332" y="171"/>
                                  </a:lnTo>
                                  <a:lnTo>
                                    <a:pt x="339" y="159"/>
                                  </a:lnTo>
                                  <a:lnTo>
                                    <a:pt x="341" y="146"/>
                                  </a:lnTo>
                                  <a:lnTo>
                                    <a:pt x="339" y="133"/>
                                  </a:lnTo>
                                  <a:lnTo>
                                    <a:pt x="332" y="122"/>
                                  </a:lnTo>
                                  <a:lnTo>
                                    <a:pt x="324" y="112"/>
                                  </a:lnTo>
                                  <a:lnTo>
                                    <a:pt x="312" y="106"/>
                                  </a:lnTo>
                                  <a:lnTo>
                                    <a:pt x="298" y="104"/>
                                  </a:lnTo>
                                  <a:close/>
                                  <a:moveTo>
                                    <a:pt x="298" y="0"/>
                                  </a:moveTo>
                                  <a:lnTo>
                                    <a:pt x="328" y="2"/>
                                  </a:lnTo>
                                  <a:lnTo>
                                    <a:pt x="356" y="12"/>
                                  </a:lnTo>
                                  <a:lnTo>
                                    <a:pt x="381" y="25"/>
                                  </a:lnTo>
                                  <a:lnTo>
                                    <a:pt x="403" y="43"/>
                                  </a:lnTo>
                                  <a:lnTo>
                                    <a:pt x="421" y="64"/>
                                  </a:lnTo>
                                  <a:lnTo>
                                    <a:pt x="435" y="89"/>
                                  </a:lnTo>
                                  <a:lnTo>
                                    <a:pt x="443" y="116"/>
                                  </a:lnTo>
                                  <a:lnTo>
                                    <a:pt x="447" y="146"/>
                                  </a:lnTo>
                                  <a:lnTo>
                                    <a:pt x="443" y="176"/>
                                  </a:lnTo>
                                  <a:lnTo>
                                    <a:pt x="435" y="203"/>
                                  </a:lnTo>
                                  <a:lnTo>
                                    <a:pt x="421" y="227"/>
                                  </a:lnTo>
                                  <a:lnTo>
                                    <a:pt x="403" y="249"/>
                                  </a:lnTo>
                                  <a:lnTo>
                                    <a:pt x="381" y="267"/>
                                  </a:lnTo>
                                  <a:lnTo>
                                    <a:pt x="356" y="281"/>
                                  </a:lnTo>
                                  <a:lnTo>
                                    <a:pt x="328" y="289"/>
                                  </a:lnTo>
                                  <a:lnTo>
                                    <a:pt x="298" y="292"/>
                                  </a:lnTo>
                                  <a:lnTo>
                                    <a:pt x="284" y="290"/>
                                  </a:lnTo>
                                  <a:lnTo>
                                    <a:pt x="270" y="287"/>
                                  </a:lnTo>
                                  <a:lnTo>
                                    <a:pt x="37" y="671"/>
                                  </a:lnTo>
                                  <a:lnTo>
                                    <a:pt x="0" y="650"/>
                                  </a:lnTo>
                                  <a:lnTo>
                                    <a:pt x="207" y="259"/>
                                  </a:lnTo>
                                  <a:lnTo>
                                    <a:pt x="188" y="241"/>
                                  </a:lnTo>
                                  <a:lnTo>
                                    <a:pt x="172" y="221"/>
                                  </a:lnTo>
                                  <a:lnTo>
                                    <a:pt x="161" y="198"/>
                                  </a:lnTo>
                                  <a:lnTo>
                                    <a:pt x="153" y="173"/>
                                  </a:lnTo>
                                  <a:lnTo>
                                    <a:pt x="150" y="146"/>
                                  </a:lnTo>
                                  <a:lnTo>
                                    <a:pt x="153" y="116"/>
                                  </a:lnTo>
                                  <a:lnTo>
                                    <a:pt x="162" y="89"/>
                                  </a:lnTo>
                                  <a:lnTo>
                                    <a:pt x="176" y="64"/>
                                  </a:lnTo>
                                  <a:lnTo>
                                    <a:pt x="194" y="43"/>
                                  </a:lnTo>
                                  <a:lnTo>
                                    <a:pt x="216" y="25"/>
                                  </a:lnTo>
                                  <a:lnTo>
                                    <a:pt x="240" y="12"/>
                                  </a:lnTo>
                                  <a:lnTo>
                                    <a:pt x="269" y="2"/>
                                  </a:lnTo>
                                  <a:lnTo>
                                    <a:pt x="298" y="0"/>
                                  </a:lnTo>
                                  <a:close/>
                                </a:path>
                              </a:pathLst>
                            </a:custGeom>
                            <a:solidFill>
                              <a:srgbClr val="E8941A"/>
                            </a:solidFill>
                            <a:ln w="0">
                              <a:noFill/>
                              <a:prstDash val="solid"/>
                              <a:round/>
                              <a:headEnd/>
                              <a:tailEnd/>
                            </a:ln>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1BC58D7B" id="Group 44" o:spid="_x0000_s1026" style="position:absolute;margin-left:1.5pt;margin-top:8.9pt;width:55.2pt;height:58.2pt;z-index:-251655168;mso-width-relative:margin;mso-height-relative:margin"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">
                <v:oval id="Oval 8"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hcLwA&#10;AADaAAAADwAAAGRycy9kb3ducmV2LnhtbERPzQ7BQBC+S7zDZiRubDkIZYkICQkH5eA46Y62dGeb&#10;7qI8vT1IHL98/7NFY0rxpNoVlhUM+hEI4tTqgjMF59OmNwbhPLLG0jIpeJODxbzdmmGs7YuP9Ex8&#10;JkIIuxgV5N5XsZQuzcmg69uKOHBXWxv0AdaZ1DW+Qrgp5TCKRtJgwaEhx4pWOaX35GEUTPxkr5Pb&#10;8XBfJ3J3GNr35fIplOp2muUUhKfG/8U/91YrCFvDlXAD5P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RKFwvAAAANoAAAAPAAAAAAAAAAAAAAAAAJgCAABkcnMvZG93bnJldi54&#10;bWxQSwUGAAAAAAQABAD1AAAAgQMAAAAA&#10;" filled="f" strokecolor="#fbae17" strokeweight="3pt"/>
                <v:group id="Group 9" o:spid="_x0000_s1028" style="position:absolute;left:2386;top:2137;width:4371;height:4869" coordorigin="238673,213732" coordsize="184,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reeform 10" o:spid="_x0000_s1029" style="position:absolute;left:238673;top:213732;width:184;height:205;visibility:visible;mso-wrap-style:square;v-text-anchor:top" coordsize="2941,3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UdycQA&#10;AADbAAAADwAAAGRycy9kb3ducmV2LnhtbESPT2/CMAzF75P4DpGRuI2UHdBWCAiQmDjsjwYIrqYx&#10;bUXjVElGu28/HybtZus9v/fzfNm7Rt0pxNqzgck4A0VceFtzaeB42D4+g4oJ2WLjmQz8UITlYvAw&#10;x9z6jr/ovk+lkhCOORqoUmpzrWNRkcM49i2xaFcfHCZZQ6ltwE7CXaOfsmyqHdYsDRW2tKmouO2/&#10;nYHL+yqG6fqcof68XV66j1P/Zl+NGQ371QxUoj79m/+ud1bwhV5+kQH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1HcnEAAAA2wAAAA8AAAAAAAAAAAAAAAAAmAIAAGRycy9k&#10;b3ducmV2LnhtbFBLBQYAAAAABAAEAPUAAACJAwAAAAA=&#10;" path="m1471,1149r-77,2l1320,1161r-72,14l1178,1195r-67,25l1045,1251r-63,34l924,1325r-56,44l816,1416r-48,53l724,1523r-40,59l649,1643r-31,64l593,1774r-21,70l558,1915r-10,74l545,2063r3,76l558,2212r14,71l593,2352r25,68l649,2484r35,62l724,2604r44,55l816,2711r52,48l924,2802r58,40l1045,2876r66,30l1178,2932r70,21l1320,2967r74,9l1471,2979r75,-3l1620,2967r73,-14l1763,2932r67,-26l1895,2876r63,-34l2017,2802r55,-43l2125,2711r47,-52l2217,2604r40,-58l2292,2484r31,-64l2348,2352r20,-69l2383,2212r10,-73l2396,2063r-3,-74l2383,1915r-15,-71l2348,1774r-25,-67l2292,1643r-35,-61l2217,1523r-45,-54l2125,1416r-53,-47l2017,1325r-59,-40l1895,1251r-65,-31l1763,1195r-70,-20l1620,1161r-74,-10l1471,1149xm75,l2802,r-1,2l2799,9r-4,9l2789,32r-8,16l2771,68r-12,23l2744,117r-16,27l2709,173r-21,30l2664,236r-27,33l2608,304r-32,36l2541,375r-38,36l2461,446r-44,36l2369,517r-50,33l2265,583r-58,31l2146,643r-66,28l2012,696r-74,23l1862,739r-81,16l1696,769r-89,10l1607,962r507,l2150,962r35,3l2218,971r33,7l2283,990r29,14l2340,1021r26,21l2391,1067r21,29l2431,1129r17,38l2460,1210r6,20l2473,1254r8,30l2490,1319r11,39l2512,1401r13,47l2539,1498r14,52l2568,1607r16,58l2600,1726r17,62l2634,1852r18,65l2670,1983r18,66l2705,2115r18,66l2741,2246r17,64l2776,2372r16,62l2808,2494r16,56l2838,2605r14,51l2866,2704r12,45l2889,2790r10,37l2907,2858r8,27l2921,2906r4,16l2928,2933r6,19l2937,2971r3,20l2941,3011r-1,20l2937,3051r-5,19l2923,3088r-11,15l2899,3119r-17,14l2862,3144r-25,10l2809,3160r-32,4l2740,3166r-175,l2565,3277r-2216,l349,3166r-149,l163,3164r-32,-4l103,3154,78,3144,58,3133,41,3119,28,3103,17,3088,8,3070,3,3051,,3031r,-20l,2991r3,-20l7,2952r5,-19l15,2922r4,-16l25,2885r8,-27l41,2827r10,-37l62,2749r12,-45l88,2656r14,-51l116,2550r16,-56l148,2434r17,-62l182,2310r17,-64l217,2181r18,-66l252,2049r18,-66l288,1917r18,-65l323,1788r17,-62l356,1665r16,-58l387,1550r14,-52l415,1448r13,-47l439,1358r11,-39l459,1284r8,-30l474,1230r6,-20l492,1167r17,-38l528,1096r23,-29l574,1042r26,-21l628,1004r29,-14l689,978r33,-7l756,965r34,-3l826,962r470,l1296,784r-90,-7l1120,767r-80,-14l962,738,889,718,820,697,755,673,693,646,636,618,581,589,530,557,483,525,438,493,397,458,359,424,323,390,291,355,261,321,234,287,210,255,187,222,167,192,149,163,134,134,121,109,109,85,100,64,92,45,86,30,80,17,77,8,76,2,75,xe" fillcolor="#fbae17" stroked="f" strokeweight="0">
                    <v:path arrowok="t" o:connecttype="custom" o:connectlocs="74,75;54,86;41,103;34,124;37,147;48,166;65,180;87,186;110,183;130,173;143,155;150,134;147,111;136,92;119,78;97,72;175,1;173,6;167,15;157,26;142,36;121,45;101,60;141,61;150,67;154,77;157,88;162,104;167,124;173,145;178,163;181,177;183,183;184,190;181,195;174,198;22,198;5,197;1,192;0,186;2,180;5,169;9,152;15,132;20,112;25,94;29,80;32,71;39,63;49,60;70,48;47,42;30,33;18,22;10,12;6,4;5,0" o:connectangles="0,0,0,0,0,0,0,0,0,0,0,0,0,0,0,0,0,0,0,0,0,0,0,0,0,0,0,0,0,0,0,0,0,0,0,0,0,0,0,0,0,0,0,0,0,0,0,0,0,0,0,0,0,0,0,0,0"/>
                    <o:lock v:ext="edit" verticies="t"/>
                  </v:shape>
                  <v:shape id="Freeform 11" o:spid="_x0000_s1030" style="position:absolute;left:238724;top:213832;width:8;height:6;visibility:visible;mso-wrap-style:square;v-text-anchor:top" coordsize="12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eH70A&#10;AADbAAAADwAAAGRycy9kb3ducmV2LnhtbERPS4vCMBC+C/6HMII3TfWg0jXKIihe6wv2NjSzTXeb&#10;SWii1n9vBMHbfHzPWa4724gbtaF2rGAyzkAQl07XXCk4HbejBYgQkTU2jknBgwKsV/3eEnPt7lzQ&#10;7RArkUI45KjAxOhzKUNpyGIYO0+cuF/XWowJtpXULd5TuG3kNMtm0mLNqcGgp42h8v9wtQos/RR4&#10;2Z2vhuf1pSz8H2b+qNRw0H1/gYjUxY/47d7rNH8Cr1/SAXL1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L5eH70AAADbAAAADwAAAAAAAAAAAAAAAACYAgAAZHJzL2Rvd25yZXYu&#10;eG1sUEsFBgAAAAAEAAQA9QAAAIIDAAAAAA==&#10;" path="m28,r95,66l108,85,93,105,,39,28,xe" fillcolor="#e8941a" stroked="f" strokeweight="0">
                    <v:path arrowok="t" o:connecttype="custom" o:connectlocs="2,0;8,4;7,5;6,6;0,2;2,0" o:connectangles="0,0,0,0,0,0"/>
                  </v:shape>
                  <v:shape id="Freeform 12" o:spid="_x0000_s1031" style="position:absolute;left:238742;top:213817;width:6;height:8;visibility:visible;mso-wrap-style:square;v-text-anchor:top" coordsize="96,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Ep778A&#10;AADbAAAADwAAAGRycy9kb3ducmV2LnhtbERPzYrCMBC+C75DGGFvmuphWapRRBDcw7JYfYChGZva&#10;ZFKaWKtPvxEWvM3H9zurzeCs6KkLtWcF81kGgrj0uuZKwfm0n36BCBFZo/VMCh4UYLMej1aYa3/n&#10;I/VFrEQK4ZCjAhNjm0sZSkMOw8y3xIm7+M5hTLCrpO7wnsKdlYss+5QOa04NBlvaGSqb4uYUPO31&#10;Z9s01fe5/T1cLJuiv1Kh1Mdk2C5BRBriW/zvPug0fwGvX9I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MSnvvwAAANsAAAAPAAAAAAAAAAAAAAAAAJgCAABkcnMvZG93bnJl&#10;di54bWxQSwUGAAAAAAQABAD1AAAAhAMAAAAA&#10;" path="m44,l96,104,74,114,53,127,,21,44,xe" fillcolor="#e8941a" stroked="f" strokeweight="0">
                    <v:path arrowok="t" o:connecttype="custom" o:connectlocs="3,0;6,7;5,7;3,8;0,1;3,0" o:connectangles="0,0,0,0,0,0"/>
                  </v:shape>
                  <v:shape id="Freeform 13" o:spid="_x0000_s1032" style="position:absolute;left:238716;top:213860;width:7;height:3;visibility:visible;mso-wrap-style:square;v-text-anchor:top" coordsize="1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LPdsIA&#10;AADbAAAADwAAAGRycy9kb3ducmV2LnhtbERP22rCQBB9L/gPywi+6cZ6oaTZiBS09kWt+gFDdpoN&#10;ZmdDdk3Sv+8WCn2bw7lOthlsLTpqfeVYwXyWgCAunK64VHC77qYvIHxA1lg7JgXf5GGTj54yTLXr&#10;+ZO6SyhFDGGfogITQpNK6QtDFv3MNcSR+3KtxRBhW0rdYh/DbS2fk2QtLVYcGww29GaouF8eVsHq&#10;/dj1y8Xy48z7eb02ZXdMDielJuNh+woi0BD+xX/ug47zF/D7Szx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Ms92wgAAANsAAAAPAAAAAAAAAAAAAAAAAJgCAABkcnMvZG93&#10;bnJldi54bWxQSwUGAAAAAAQABAD1AAAAhwMAAAAA&#10;" path="m,l118,r-1,5l117,10r-1,5l118,32r1,16l,48,,xe" fillcolor="#e8941a" stroked="f" strokeweight="0">
                    <v:path arrowok="t" o:connecttype="custom" o:connectlocs="0,0;7,0;7,0;7,1;7,1;7,2;7,3;0,3;0,0" o:connectangles="0,0,0,0,0,0,0,0,0"/>
                  </v:shape>
                  <v:shape id="Freeform 14" o:spid="_x0000_s1033" style="position:absolute;left:238801;top:213837;width:9;height:6;visibility:visible;mso-wrap-style:square;v-text-anchor:top" coordsize="144,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Ja+sMA&#10;AADbAAAADwAAAGRycy9kb3ducmV2LnhtbERPTWvCQBC9F/oflhG81Y2llBKzihZaRXqoUeJ1yI5J&#10;MDsbdldN+uu7hYK3ebzPyRa9acWVnG8sK5hOEhDEpdUNVwoO+4+nNxA+IGtsLZOCgTws5o8PGaba&#10;3nhH1zxUIoawT1FBHUKXSunLmgz6ie2II3eyzmCI0FVSO7zFcNPK5yR5lQYbjg01dvReU3nOL0bB&#10;52Uo6Gtot36zLg756ufoqu+1UuNRv5yBCNSHu/jfvdFx/gv8/R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Ja+sMAAADbAAAADwAAAAAAAAAAAAAAAACYAgAAZHJzL2Rv&#10;d25yZXYueG1sUEsFBgAAAAAEAAQA9QAAAIgDAAAAAA==&#10;" path="m120,r24,42l23,107,,65,120,xe" fillcolor="#e8941a" stroked="f" strokeweight="0">
                    <v:path arrowok="t" o:connecttype="custom" o:connectlocs="8,0;9,2;1,6;0,4;8,0" o:connectangles="0,0,0,0,0"/>
                  </v:shape>
                  <v:shape id="Freeform 15" o:spid="_x0000_s1034" style="position:absolute;left:238786;top:213819;width:7;height:8;visibility:visible;mso-wrap-style:square;v-text-anchor:top" coordsize="10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RBcMA&#10;AADbAAAADwAAAGRycy9kb3ducmV2LnhtbERPTWsCMRC9C/6HMEJvNWu7lrIaRaSW9lJa9eBxSMbd&#10;xc1kSeLu+u+bQsHbPN7nLNeDbURHPtSOFcymGQhi7UzNpYLjYff4CiJEZIONY1JwowDr1Xi0xMK4&#10;nn+o28dSpBAOBSqoYmwLKYOuyGKYupY4cWfnLcYEfSmNxz6F20Y+ZdmLtFhzaqiwpW1F+rK/WgWX&#10;2fPXts0P+feb16d3Zz/z22mu1MNk2CxARBriXfzv/jBp/hz+fk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FRBcMAAADbAAAADwAAAAAAAAAAAAAAAACYAgAAZHJzL2Rv&#10;d25yZXYueG1sUEsFBgAAAAAEAAQA9QAAAIgDAAAAAA==&#10;" path="m68,r41,24l42,134,22,121,,110,68,xe" fillcolor="#e8941a" stroked="f" strokeweight="0">
                    <v:path arrowok="t" o:connecttype="custom" o:connectlocs="4,0;7,1;3,8;1,7;0,7;4,0" o:connectangles="0,0,0,0,0,0"/>
                  </v:shape>
                  <v:shape id="Freeform 16" o:spid="_x0000_s1035" style="position:absolute;left:238764;top:213812;width:3;height:8;visibility:visible;mso-wrap-style:square;v-text-anchor:top" coordsize="49,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rDn8AA&#10;AADbAAAADwAAAGRycy9kb3ducmV2LnhtbERP3WrCMBS+F3yHcAa7EU3nRZVqlDEQBJky9QEOzVlT&#10;lpzUJrbd2y+CsLvz8f2e9XZwVnTUhtqzgrdZBoK49LrmSsH1spsuQYSIrNF6JgW/FGC7GY/WWGjf&#10;8xd151iJFMKhQAUmxqaQMpSGHIaZb4gT9+1bhzHBtpK6xT6FOyvnWZZLhzWnBoMNfRgqf853p4CZ&#10;7O5g0eTd6XacXD4ni9iTUq8vw/sKRKQh/ouf7r1O83N4/JIO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rDn8AAAADbAAAADwAAAAAAAAAAAAAAAACYAgAAZHJzL2Rvd25y&#10;ZXYueG1sUEsFBgAAAAAEAAQA9QAAAIUDAAAAAA==&#10;" path="m,l49,r,123l31,121,11,119r-3,l4,119,,121,,xe" fillcolor="#e8941a" stroked="f" strokeweight="0">
                    <v:path arrowok="t" o:connecttype="custom" o:connectlocs="0,0;3,0;3,8;2,8;1,8;0,8;0,8;0,8;0,0" o:connectangles="0,0,0,0,0,0,0,0,0"/>
                  </v:shape>
                  <v:shape id="Freeform 17" o:spid="_x0000_s1036" style="position:absolute;left:238783;top:213897;width:6;height:10;visibility:visible;mso-wrap-style:square;v-text-anchor:top" coordsize="10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XJ18EA&#10;AADbAAAADwAAAGRycy9kb3ducmV2LnhtbERP22oCMRB9F/oPYQq+abaCF7ZGWVrECxTUtu/DZrq7&#10;7WYSkqjr3xuh4NscznXmy8604kw+NJYVvAwzEMSl1Q1XCr4+V4MZiBCRNbaWScGVAiwXT7055tpe&#10;+EDnY6xECuGQo4I6RpdLGcqaDIahdcSJ+7HeYEzQV1J7vKRw08pRlk2kwYZTQ42O3moq/44no6Aq&#10;wu+2mH7v39d0ag/jvdt9eKdU/7krXkFE6uJD/O/e6DR/Cvdf0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FydfBAAAA2wAAAA8AAAAAAAAAAAAAAAAAmAIAAGRycy9kb3du&#10;cmV2LnhtbFBLBQYAAAAABAAEAPUAAACGAwAAAAA=&#10;" path="m41,r65,128l63,149,,23,21,12,41,xe" fillcolor="#e8941a" stroked="f" strokeweight="0">
                    <v:path arrowok="t" o:connecttype="custom" o:connectlocs="2,0;6,9;4,10;0,2;1,1;2,0" o:connectangles="0,0,0,0,0,0"/>
                  </v:shape>
                  <v:shape id="Freeform 18" o:spid="_x0000_s1037" style="position:absolute;left:238798;top:213884;width:9;height:8;visibility:visible;mso-wrap-style:square;v-text-anchor:top" coordsize="1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m+cQA&#10;AADbAAAADwAAAGRycy9kb3ducmV2LnhtbESPMW8CMQyF90r8h8hILKjk2gFVVwICqkMdWKAdYLMu&#10;7uXUi3O6pBD+fT0gsdl6z+99Xqyy79SFhtgGNvAyK0AR18G23Bj4/qqe30DFhGyxC0wGbhRhtRw9&#10;LbC04coHuhxToySEY4kGXEp9qXWsHXmMs9ATi/YTBo9J1qHRdsCrhPtOvxbFXHtsWRoc9rR1VP8e&#10;/7yBfO7cNG9OzZQo7j52++qwCZUxk3Fev4NKlNPDfL/+tIIvs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cZvnEAAAA2wAAAA8AAAAAAAAAAAAAAAAAmAIAAGRycy9k&#10;b3ducmV2LnhtbFBLBQYAAAAABAAEAPUAAACJAwAAAAA=&#10;" path="m29,l146,83r-27,38l,38,15,20,29,xe" fillcolor="#e8941a" stroked="f" strokeweight="0">
                    <v:path arrowok="t" o:connecttype="custom" o:connectlocs="2,0;9,5;7,8;0,3;1,1;2,0" o:connectangles="0,0,0,0,0,0"/>
                  </v:shape>
                  <v:shape id="Freeform 19" o:spid="_x0000_s1038" style="position:absolute;left:238807;top:213860;width:9;height:3;visibility:visible;mso-wrap-style:square;v-text-anchor:top" coordsize="14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6GcIA&#10;AADbAAAADwAAAGRycy9kb3ducmV2LnhtbERPS2vCQBC+F/wPywje6kbRotFVVLAo9NL4wOOQHZNg&#10;djZmtzH+e7dQ6G0+vufMl60pRUO1KywrGPQjEMSp1QVnCo6H7fsEhPPIGkvLpOBJDpaLztscY20f&#10;/E1N4jMRQtjFqCD3voqldGlOBl3fVsSBu9raoA+wzqSu8RHCTSmHUfQhDRYcGnKsaJNTekt+jIKI&#10;k9HXtFx/NnQYXy7j03Cwv5+V6nXb1QyEp9b/i//cOx3mT+H3l3C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foZwgAAANsAAAAPAAAAAAAAAAAAAAAAAJgCAABkcnMvZG93&#10;bnJldi54bWxQSwUGAAAAAAQABAD1AAAAhwMAAAAA&#10;" path="m2,l144,r,48l,48,2,32,3,15r,-5l2,5,2,xe" fillcolor="#e8941a" stroked="f" strokeweight="0">
                    <v:path arrowok="t" o:connecttype="custom" o:connectlocs="0,0;9,0;9,3;0,3;0,2;0,1;0,1;0,0;0,0" o:connectangles="0,0,0,0,0,0,0,0,0"/>
                  </v:shape>
                  <v:shape id="Freeform 20" o:spid="_x0000_s1039" style="position:absolute;left:238764;top:213902;width:3;height:9;visibility:visible;mso-wrap-style:square;v-text-anchor:top" coordsize="4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7m+r8A&#10;AADbAAAADwAAAGRycy9kb3ducmV2LnhtbERPTYvCMBC9L/gfwgje1rQ9dJdqFFEET4J1RY9DM7bV&#10;ZlKaWOu/3xwEj4/3PV8OphE9da62rCCeRiCIC6trLhX8HbffvyCcR9bYWCYFL3KwXIy+5php++QD&#10;9bkvRQhhl6GCyvs2k9IVFRl0U9sSB+5qO4M+wK6UusNnCDeNTKIolQZrDg0VtrSuqLjnD6PgZld7&#10;V5x/8suQ9ps4TszpmBqlJuNhNQPhafAf8du90wqSsD58CT9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vub6vwAAANsAAAAPAAAAAAAAAAAAAAAAAJgCAABkcnMvZG93bnJl&#10;di54bWxQSwUGAAAAAAQABAD1AAAAhAMAAAAA&#10;" path="m49,r,140l,140,,2,4,3r4,l11,3,31,2,49,xe" fillcolor="#e8941a" stroked="f" strokeweight="0">
                    <v:path arrowok="t" o:connecttype="custom" o:connectlocs="3,0;3,9;0,9;0,0;0,0;0,0;1,0;2,0;3,0" o:connectangles="0,0,0,0,0,0,0,0,0"/>
                  </v:shape>
                  <v:shape id="Freeform 21" o:spid="_x0000_s1040" style="position:absolute;left:238721;top:213880;width:8;height:7;visibility:visible;mso-wrap-style:square;v-text-anchor:top" coordsize="132,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2Ov8IA&#10;AADbAAAADwAAAGRycy9kb3ducmV2LnhtbESPQYvCMBSE74L/ITxhb5rqQaVrWkSQ6kV2VfD6aN42&#10;xealNlmt/34jLHgcZuYbZpX3thF36nztWMF0koAgLp2uuVJwPm3HSxA+IGtsHJOCJ3nIs+Fghal2&#10;D/6m+zFUIkLYp6jAhNCmUvrSkEU/cS1x9H5cZzFE2VVSd/iIcNvIWZLMpcWa44LBljaGyuvx1yo4&#10;FNXhhPOF312c+do/bbG/bQqlPkb9+hNEoD68w//tnVYwm8LrS/w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7Y6/wgAAANsAAAAPAAAAAAAAAAAAAAAAAJgCAABkcnMvZG93&#10;bnJldi54bWxQSwUGAAAAAAQABAD1AAAAhwMAAAAA&#10;" path="m109,r23,42l23,101,,59,109,xe" fillcolor="#e8941a" stroked="f" strokeweight="0">
                    <v:path arrowok="t" o:connecttype="custom" o:connectlocs="7,0;8,3;1,7;0,4;7,0" o:connectangles="0,0,0,0,0"/>
                  </v:shape>
                  <v:shape id="Freeform 22" o:spid="_x0000_s1041" style="position:absolute;left:238739;top:213896;width:6;height:9;visibility:visible;mso-wrap-style:square;v-text-anchor:top" coordsize="11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4K8YA&#10;AADbAAAADwAAAGRycy9kb3ducmV2LnhtbESPQWvCQBSE74X+h+UVehGzSQ6lRFcR24pQWjAKktsj&#10;+0yC2bdpdqupv94VCh6HmfmGmc4H04oT9a6xrCCJYhDEpdUNVwp224/xKwjnkTW2lknBHzmYzx4f&#10;pphpe+YNnXJfiQBhl6GC2vsuk9KVNRl0ke2Ig3ewvUEfZF9J3eM5wE0r0zh+kQYbDgs1drSsqTzm&#10;v0ZBLr8u62RVFD/N5yV5W73vR6NvVur5aVhMQHga/D38315rBWkKt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h4K8YAAADbAAAADwAAAAAAAAAAAAAAAACYAgAAZHJz&#10;L2Rvd25yZXYueG1sUEsFBgAAAAAEAAQA9QAAAIsDAAAAAA==&#10;" path="m68,l89,12r21,11l41,136,,112,68,xe" fillcolor="#e8941a" stroked="f" strokeweight="0">
                    <v:path arrowok="t" o:connecttype="custom" o:connectlocs="4,0;5,1;6,2;2,9;0,7;4,0" o:connectangles="0,0,0,0,0,0"/>
                  </v:shape>
                  <v:shape id="Freeform 23" o:spid="_x0000_s1042" style="position:absolute;left:238747;top:213850;width:28;height:42;visibility:visible;mso-wrap-style:square;v-text-anchor:top" coordsize="447,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msQA&#10;AADbAAAADwAAAGRycy9kb3ducmV2LnhtbESPT2sCMRTE74LfITyhF9FsFYusRpGC1F4KtX/o8bF5&#10;7i4mL0uSavbbm0LB4zAzv2HW22SNuJAPrWMFj9MCBHHldMu1gs+P/WQJIkRkjcYxKegpwHYzHKyx&#10;1O7K73Q5xlpkCIcSFTQxdqWUoWrIYpi6jjh7J+ctxix9LbXHa4ZbI2dF8SQttpwXGuzouaHqfPy1&#10;CuJ+kdIhvH39UO8Xr99j09sXo9TDKO1WICKleA//tw9awWwOf1/y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4zZrEAAAA2wAAAA8AAAAAAAAAAAAAAAAAmAIAAGRycy9k&#10;b3ducmV2LnhtbFBLBQYAAAAABAAEAPUAAACJAwAAAAA=&#10;" path="m298,104r-13,2l273,112r-9,10l258,133r-2,13l258,159r6,12l273,180r12,6l298,189r14,-3l324,180r8,-9l339,159r2,-13l339,133r-7,-11l324,112r-12,-6l298,104xm298,r30,2l356,12r25,13l403,43r18,21l435,89r8,27l447,146r-4,30l435,203r-14,24l403,249r-22,18l356,281r-28,8l298,292r-14,-2l270,287,37,671,,650,207,259,188,241,172,221,161,198r-8,-25l150,146r3,-30l162,89,176,64,194,43,216,25,240,12,269,2,298,xe" fillcolor="#e8941a" stroked="f" strokeweight="0">
                    <v:path arrowok="t" o:connecttype="custom" o:connectlocs="19,7;18,7;17,7;17,8;16,8;16,9;16,10;17,11;17,11;18,12;19,12;20,12;20,11;21,11;21,10;21,9;21,8;21,8;20,7;20,7;19,7;19,0;21,0;22,1;24,2;25,3;26,4;27,6;28,7;28,9;28,11;27,13;26,14;25,16;24,17;22,18;21,18;19,18;18,18;17,18;2,42;0,41;13,16;12,15;11,14;10,12;10,11;9,9;10,7;10,6;11,4;12,3;14,2;15,1;17,0;19,0" o:connectangles="0,0,0,0,0,0,0,0,0,0,0,0,0,0,0,0,0,0,0,0,0,0,0,0,0,0,0,0,0,0,0,0,0,0,0,0,0,0,0,0,0,0,0,0,0,0,0,0,0,0,0,0,0,0,0,0"/>
                    <o:lock v:ext="edit" verticies="t"/>
                  </v:shape>
                </v:group>
                <w10:wrap type="square"/>
              </v:group>
            </w:pict>
          </mc:Fallback>
        </mc:AlternateContent>
      </w:r>
      <w:r w:rsidR="00F776A6" w:rsidRPr="00F776A6">
        <w:rPr>
          <w:lang w:val="en-GB"/>
        </w:rPr>
        <w:t>SOLVENCY</w:t>
      </w:r>
      <w:r w:rsidR="00C2031E" w:rsidRPr="00C2031E">
        <w:rPr>
          <w:lang w:val="en-GB"/>
        </w:rPr>
        <w:t xml:space="preserve"> </w:t>
      </w:r>
      <w:r w:rsidR="00C2031E">
        <w:rPr>
          <w:lang w:val="en-GB"/>
        </w:rPr>
        <w:t xml:space="preserve">AND </w:t>
      </w:r>
      <w:r w:rsidR="00C2031E" w:rsidRPr="00851FC0">
        <w:rPr>
          <w:lang w:val="en-GB"/>
        </w:rPr>
        <w:t>LONG TERM COST EFFICIENCY</w:t>
      </w:r>
    </w:p>
    <w:p w14:paraId="41501010" w14:textId="78092EE7" w:rsidR="00C2031E" w:rsidRDefault="00851FC0" w:rsidP="00C2031E">
      <w:pPr>
        <w:pStyle w:val="DocumentText"/>
      </w:pPr>
      <w:r>
        <w:t>E</w:t>
      </w:r>
      <w:r w:rsidR="00806550">
        <w:t xml:space="preserve">ach employer’s contributions </w:t>
      </w:r>
      <w:r>
        <w:t>are</w:t>
      </w:r>
      <w:r w:rsidR="00806550">
        <w:t xml:space="preserve"> set at such a level</w:t>
      </w:r>
      <w:r w:rsidR="0054233F">
        <w:t xml:space="preserve"> to achieve full solvency in a reasonable timeframe.  Solvency is</w:t>
      </w:r>
      <w:r w:rsidR="00806550">
        <w:t xml:space="preserve"> </w:t>
      </w:r>
      <w:r w:rsidR="0054233F">
        <w:t>defined as a level where</w:t>
      </w:r>
      <w:r w:rsidR="00806550">
        <w:t xml:space="preserve"> the </w:t>
      </w:r>
      <w:r w:rsidR="00177D13">
        <w:rPr>
          <w:rFonts w:cs="Arial"/>
        </w:rPr>
        <w:t>Fund</w:t>
      </w:r>
      <w:r w:rsidR="00806550">
        <w:t>’s liabilities</w:t>
      </w:r>
      <w:r w:rsidR="001362F6">
        <w:t xml:space="preserve"> i.e</w:t>
      </w:r>
      <w:r w:rsidR="0054233F">
        <w:t>. benefit payments</w:t>
      </w:r>
      <w:r w:rsidR="00806550">
        <w:t xml:space="preserve"> can be </w:t>
      </w:r>
      <w:r w:rsidR="0054233F">
        <w:t xml:space="preserve">reasonably </w:t>
      </w:r>
      <w:r w:rsidR="00806550">
        <w:t xml:space="preserve">met as they arise. </w:t>
      </w:r>
    </w:p>
    <w:p w14:paraId="17813B7C" w14:textId="71A9BA76" w:rsidR="00143AC3" w:rsidRDefault="00143AC3" w:rsidP="00143AC3">
      <w:pPr>
        <w:pStyle w:val="DocumentText"/>
      </w:pPr>
      <w:r>
        <w:t xml:space="preserve">Employer contributions are also set in order to achieve </w:t>
      </w:r>
      <w:r w:rsidR="00762C4C">
        <w:t xml:space="preserve">long </w:t>
      </w:r>
      <w:r>
        <w:t xml:space="preserve">term cost efficiency. </w:t>
      </w:r>
      <w:r w:rsidR="00506D31" w:rsidRPr="00506D31">
        <w:t>Long</w:t>
      </w:r>
      <w:r w:rsidR="00762C4C">
        <w:t xml:space="preserve"> </w:t>
      </w:r>
      <w:r w:rsidR="00506D31" w:rsidRPr="00506D31">
        <w:t xml:space="preserve">term cost-efficiency implies that </w:t>
      </w:r>
      <w:r w:rsidR="00762C4C">
        <w:t>contributions</w:t>
      </w:r>
      <w:r w:rsidR="00506D31" w:rsidRPr="00506D31">
        <w:t xml:space="preserve"> must not be set at a level that </w:t>
      </w:r>
      <w:r w:rsidR="00D53B45">
        <w:t>is likely to give</w:t>
      </w:r>
      <w:r w:rsidR="00506D31" w:rsidRPr="00506D31">
        <w:t xml:space="preserve"> rise to additional costs</w:t>
      </w:r>
      <w:r w:rsidR="00D53B45">
        <w:t xml:space="preserve"> in the future</w:t>
      </w:r>
      <w:r w:rsidR="00506D31" w:rsidRPr="00506D31">
        <w:t xml:space="preserve">. For example, deferring costs to the future would be likely to result in those costs </w:t>
      </w:r>
      <w:r w:rsidR="00506D31" w:rsidRPr="00506D31">
        <w:lastRenderedPageBreak/>
        <w:t xml:space="preserve">being greater overall than if they were provided for at the </w:t>
      </w:r>
      <w:r w:rsidR="001362F6">
        <w:t xml:space="preserve">appropriate </w:t>
      </w:r>
      <w:r w:rsidR="00506D31" w:rsidRPr="00506D31">
        <w:t>time.</w:t>
      </w:r>
      <w:r>
        <w:t xml:space="preserve"> </w:t>
      </w:r>
      <w:r w:rsidR="00156840" w:rsidRPr="00156840">
        <w:t xml:space="preserve">Equally, the FSS must have regard to the </w:t>
      </w:r>
      <w:r w:rsidR="00156840" w:rsidRPr="00156840">
        <w:rPr>
          <w:u w:val="single"/>
        </w:rPr>
        <w:t>desirability</w:t>
      </w:r>
      <w:r w:rsidR="00156840" w:rsidRPr="00156840">
        <w:t xml:space="preserve"> of maintaining as nearly constant a primary rate of contribution as possible.</w:t>
      </w:r>
    </w:p>
    <w:p w14:paraId="5A31B75C" w14:textId="17301D41" w:rsidR="002B389F" w:rsidRPr="002B389F" w:rsidRDefault="002B389F" w:rsidP="00B01CB6">
      <w:pPr>
        <w:pStyle w:val="DocumentText"/>
      </w:pPr>
      <w:r w:rsidRPr="002B389F">
        <w:t>When formulating the funding strategy</w:t>
      </w:r>
      <w:r w:rsidR="00F01577">
        <w:t>,</w:t>
      </w:r>
      <w:r w:rsidRPr="002B389F">
        <w:t xml:space="preserve"> the Administering Authority has taken into account these key objectives and also considered the implications of the </w:t>
      </w:r>
      <w:r>
        <w:t>requirements under</w:t>
      </w:r>
      <w:r w:rsidRPr="002B389F">
        <w:t xml:space="preserve"> Section 13(4)(c) of the Public Service Pensions Act 2013</w:t>
      </w:r>
      <w:r>
        <w:t>.  As part of these requirements t</w:t>
      </w:r>
      <w:r w:rsidRPr="002B389F">
        <w:t>he Government Actuary’s Department (GAD) must, following an actuarial valuation, report on whether the rate of employer contr</w:t>
      </w:r>
      <w:r w:rsidR="001362F6">
        <w:t xml:space="preserve">ibutions to the </w:t>
      </w:r>
      <w:r w:rsidR="00177D13">
        <w:rPr>
          <w:rFonts w:cs="Arial"/>
        </w:rPr>
        <w:t>Fund</w:t>
      </w:r>
      <w:r w:rsidR="001362F6">
        <w:t xml:space="preserve"> is</w:t>
      </w:r>
      <w:r w:rsidRPr="002B389F">
        <w:t xml:space="preserve"> set at an appropriate level to ensure the “solvency” of the pension fund and “long term cost efficiency" of the </w:t>
      </w:r>
      <w:r w:rsidR="00112F06">
        <w:t>Local Government Pension Scheme</w:t>
      </w:r>
      <w:r w:rsidR="0092116C">
        <w:t xml:space="preserve"> (the “LGPS”)</w:t>
      </w:r>
      <w:r w:rsidR="00112F06">
        <w:t xml:space="preserve"> </w:t>
      </w:r>
      <w:r w:rsidRPr="002B389F">
        <w:t xml:space="preserve">so far as relating to the </w:t>
      </w:r>
      <w:r w:rsidR="00177D13">
        <w:rPr>
          <w:rFonts w:cs="Arial"/>
        </w:rPr>
        <w:t>Fund</w:t>
      </w:r>
      <w:r w:rsidRPr="002B389F">
        <w:t xml:space="preserve">. </w:t>
      </w:r>
    </w:p>
    <w:p w14:paraId="2E839F61" w14:textId="2970F387" w:rsidR="00D53B45" w:rsidRDefault="00D53B45" w:rsidP="00D53B45">
      <w:pPr>
        <w:pStyle w:val="Heading10"/>
        <w:rPr>
          <w:lang w:val="en-GB"/>
        </w:rPr>
      </w:pPr>
      <w:r>
        <w:rPr>
          <w:noProof/>
          <w:lang w:val="en-GB" w:eastAsia="en-GB"/>
        </w:rPr>
        <w:drawing>
          <wp:anchor distT="0" distB="0" distL="114300" distR="114300" simplePos="0" relativeHeight="251670528" behindDoc="1" locked="0" layoutInCell="1" allowOverlap="1" wp14:anchorId="4CA2F3ED" wp14:editId="2274AA1C">
            <wp:simplePos x="0" y="0"/>
            <wp:positionH relativeFrom="column">
              <wp:posOffset>-243205</wp:posOffset>
            </wp:positionH>
            <wp:positionV relativeFrom="paragraph">
              <wp:posOffset>87630</wp:posOffset>
            </wp:positionV>
            <wp:extent cx="784860" cy="516255"/>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860" cy="516255"/>
                    </a:xfrm>
                    <a:prstGeom prst="rect">
                      <a:avLst/>
                    </a:prstGeom>
                    <a:noFill/>
                  </pic:spPr>
                </pic:pic>
              </a:graphicData>
            </a:graphic>
            <wp14:sizeRelH relativeFrom="page">
              <wp14:pctWidth>0</wp14:pctWidth>
            </wp14:sizeRelH>
            <wp14:sizeRelV relativeFrom="page">
              <wp14:pctHeight>0</wp14:pctHeight>
            </wp14:sizeRelV>
          </wp:anchor>
        </w:drawing>
      </w:r>
      <w:r w:rsidRPr="005A496C">
        <w:rPr>
          <w:lang w:val="en-GB"/>
        </w:rPr>
        <w:t xml:space="preserve">DEFICIT RECOVERY </w:t>
      </w:r>
      <w:r>
        <w:rPr>
          <w:lang w:val="en-GB"/>
        </w:rPr>
        <w:t>PLAN</w:t>
      </w:r>
      <w:r w:rsidR="004E58EA" w:rsidRPr="004E58EA">
        <w:rPr>
          <w:lang w:val="en-GB"/>
        </w:rPr>
        <w:t xml:space="preserve"> and contributions</w:t>
      </w:r>
    </w:p>
    <w:p w14:paraId="0A8629C1" w14:textId="55F04F6A" w:rsidR="00D53B45" w:rsidRDefault="00D53B45" w:rsidP="00D53B45">
      <w:pPr>
        <w:pStyle w:val="DocumentText"/>
        <w:rPr>
          <w:lang w:val="en-GB"/>
        </w:rPr>
      </w:pPr>
      <w:r>
        <w:rPr>
          <w:lang w:val="en-GB"/>
        </w:rPr>
        <w:t xml:space="preserve">As the solvency level of the </w:t>
      </w:r>
      <w:r w:rsidR="00177D13">
        <w:rPr>
          <w:rFonts w:cs="Arial"/>
        </w:rPr>
        <w:t>Fund</w:t>
      </w:r>
      <w:r>
        <w:rPr>
          <w:lang w:val="en-GB"/>
        </w:rPr>
        <w:t xml:space="preserve"> is </w:t>
      </w:r>
      <w:r w:rsidR="00EC0BFC">
        <w:rPr>
          <w:lang w:val="en-GB"/>
        </w:rPr>
        <w:t>90%</w:t>
      </w:r>
      <w:r>
        <w:rPr>
          <w:lang w:val="en-GB"/>
        </w:rPr>
        <w:t xml:space="preserve"> at the valuation date i.e. </w:t>
      </w:r>
      <w:r w:rsidR="00DB393E">
        <w:rPr>
          <w:lang w:val="en-GB"/>
        </w:rPr>
        <w:t xml:space="preserve">the </w:t>
      </w:r>
      <w:r>
        <w:rPr>
          <w:lang w:val="en-GB"/>
        </w:rPr>
        <w:t xml:space="preserve">assets of the </w:t>
      </w:r>
      <w:r w:rsidR="00177D13">
        <w:rPr>
          <w:rFonts w:cs="Arial"/>
        </w:rPr>
        <w:t>Fund</w:t>
      </w:r>
      <w:r>
        <w:rPr>
          <w:lang w:val="en-GB"/>
        </w:rPr>
        <w:t xml:space="preserve"> are less than the liabilities, a deficit recovery plan needs to be implemented such that additional contributions are paid into the </w:t>
      </w:r>
      <w:r w:rsidR="00177D13">
        <w:rPr>
          <w:rFonts w:cs="Arial"/>
        </w:rPr>
        <w:t>Fund</w:t>
      </w:r>
      <w:r>
        <w:rPr>
          <w:lang w:val="en-GB"/>
        </w:rPr>
        <w:t xml:space="preserve"> to meet the shortfall.</w:t>
      </w:r>
    </w:p>
    <w:p w14:paraId="57FC7899" w14:textId="7F237749" w:rsidR="00D53B45" w:rsidRDefault="00D53B45" w:rsidP="00D53B45">
      <w:pPr>
        <w:spacing w:after="120"/>
        <w:rPr>
          <w:rFonts w:cs="Arial"/>
        </w:rPr>
      </w:pPr>
      <w:r>
        <w:rPr>
          <w:lang w:val="en-GB"/>
        </w:rPr>
        <w:t xml:space="preserve">Deficit contributions paid to the </w:t>
      </w:r>
      <w:r w:rsidR="00177D13">
        <w:rPr>
          <w:rFonts w:cs="Arial"/>
        </w:rPr>
        <w:t>Fund</w:t>
      </w:r>
      <w:r>
        <w:rPr>
          <w:lang w:val="en-GB"/>
        </w:rPr>
        <w:t xml:space="preserve"> by each employer will </w:t>
      </w:r>
      <w:r w:rsidR="006F78CE">
        <w:rPr>
          <w:lang w:val="en-GB"/>
        </w:rPr>
        <w:t xml:space="preserve">normally </w:t>
      </w:r>
      <w:r>
        <w:rPr>
          <w:lang w:val="en-GB"/>
        </w:rPr>
        <w:t xml:space="preserve">be expressed as £s amounts </w:t>
      </w:r>
      <w:r w:rsidR="001362F6">
        <w:rPr>
          <w:lang w:val="en-GB"/>
        </w:rPr>
        <w:t xml:space="preserve">(flat or increasing year on year) </w:t>
      </w:r>
      <w:r>
        <w:rPr>
          <w:lang w:val="en-GB"/>
        </w:rPr>
        <w:t xml:space="preserve">and it is the </w:t>
      </w:r>
      <w:r w:rsidR="00177D13">
        <w:rPr>
          <w:rFonts w:cs="Arial"/>
        </w:rPr>
        <w:t>Fund</w:t>
      </w:r>
      <w:r>
        <w:rPr>
          <w:lang w:val="en-GB"/>
        </w:rPr>
        <w:t xml:space="preserve">’s objective that any funding deficit is eliminated as quickly as the participating employers can </w:t>
      </w:r>
      <w:r w:rsidR="001362F6">
        <w:rPr>
          <w:lang w:val="en-GB"/>
        </w:rPr>
        <w:t>reasonabl</w:t>
      </w:r>
      <w:r w:rsidR="00821117">
        <w:rPr>
          <w:lang w:val="en-GB"/>
        </w:rPr>
        <w:t>y</w:t>
      </w:r>
      <w:r w:rsidR="001362F6">
        <w:rPr>
          <w:lang w:val="en-GB"/>
        </w:rPr>
        <w:t xml:space="preserve"> </w:t>
      </w:r>
      <w:r>
        <w:rPr>
          <w:lang w:val="en-GB"/>
        </w:rPr>
        <w:t>afford</w:t>
      </w:r>
      <w:r w:rsidR="001362F6">
        <w:rPr>
          <w:lang w:val="en-GB"/>
        </w:rPr>
        <w:t xml:space="preserve"> given other competing cost pressures</w:t>
      </w:r>
      <w:r>
        <w:rPr>
          <w:lang w:val="en-GB"/>
        </w:rPr>
        <w:t xml:space="preserve">.  </w:t>
      </w:r>
      <w:r w:rsidR="004E58EA" w:rsidRPr="004E58EA">
        <w:rPr>
          <w:lang w:val="en-GB"/>
        </w:rPr>
        <w:t xml:space="preserve">This may result in some flexibility in recovery periods by employer which would be at the sole discretion of the Administering Authority.  </w:t>
      </w:r>
      <w:r w:rsidR="008F2FA6">
        <w:rPr>
          <w:lang w:val="en-GB"/>
        </w:rPr>
        <w:t xml:space="preserve">The </w:t>
      </w:r>
      <w:r>
        <w:rPr>
          <w:lang w:val="en-GB"/>
        </w:rPr>
        <w:t xml:space="preserve">recovery periods will be set by the </w:t>
      </w:r>
      <w:r w:rsidR="00177D13">
        <w:rPr>
          <w:rFonts w:cs="Arial"/>
        </w:rPr>
        <w:t>Fund</w:t>
      </w:r>
      <w:r>
        <w:rPr>
          <w:lang w:val="en-GB"/>
        </w:rPr>
        <w:t xml:space="preserve">, although employers </w:t>
      </w:r>
      <w:r>
        <w:rPr>
          <w:rFonts w:cs="Arial"/>
        </w:rPr>
        <w:t>will be free to sele</w:t>
      </w:r>
      <w:r w:rsidRPr="00EC0BFC">
        <w:rPr>
          <w:rFonts w:cs="Arial"/>
        </w:rPr>
        <w:t>ct any shorter deficit recovery period if they wish.</w:t>
      </w:r>
      <w:r w:rsidR="001362F6" w:rsidRPr="00EC0BFC">
        <w:rPr>
          <w:rFonts w:cs="Arial"/>
        </w:rPr>
        <w:t xml:space="preserve">  Employers may</w:t>
      </w:r>
      <w:r w:rsidR="00EC0BFC">
        <w:rPr>
          <w:rFonts w:cs="Arial"/>
        </w:rPr>
        <w:t xml:space="preserve">, in certain circumstances at the </w:t>
      </w:r>
      <w:r w:rsidR="00EC0BFC" w:rsidRPr="004E58EA">
        <w:rPr>
          <w:lang w:val="en-GB"/>
        </w:rPr>
        <w:t>discretion of the Administering Authority</w:t>
      </w:r>
      <w:r w:rsidR="00EC0BFC">
        <w:rPr>
          <w:lang w:val="en-GB"/>
        </w:rPr>
        <w:t>,</w:t>
      </w:r>
      <w:r w:rsidR="00EC0BFC" w:rsidRPr="00D7568D">
        <w:rPr>
          <w:rFonts w:cs="Arial"/>
        </w:rPr>
        <w:t xml:space="preserve"> </w:t>
      </w:r>
      <w:r w:rsidR="001362F6" w:rsidRPr="00EC0BFC">
        <w:rPr>
          <w:rFonts w:cs="Arial"/>
        </w:rPr>
        <w:t>also elect to make prepayments of contributions which could result in a cash saving over the valuation certificate period.</w:t>
      </w:r>
    </w:p>
    <w:p w14:paraId="68FA8298" w14:textId="4B6A872A" w:rsidR="00F82096" w:rsidRPr="00F82096" w:rsidRDefault="00F82096" w:rsidP="00F82096">
      <w:pPr>
        <w:spacing w:after="120"/>
        <w:rPr>
          <w:lang w:val="en-GB"/>
        </w:rPr>
      </w:pPr>
      <w:r w:rsidRPr="00F82096">
        <w:rPr>
          <w:lang w:val="en-GB"/>
        </w:rPr>
        <w:t xml:space="preserve">The objective is to recover any deficit over a reasonable timeframe, and this will be periodically reviewed. Subject to affordability considerations a key principle will be to maintain the </w:t>
      </w:r>
      <w:r w:rsidR="00EC0BFC">
        <w:rPr>
          <w:lang w:val="en-GB"/>
        </w:rPr>
        <w:t xml:space="preserve">total </w:t>
      </w:r>
      <w:r w:rsidRPr="00F82096">
        <w:rPr>
          <w:lang w:val="en-GB"/>
        </w:rPr>
        <w:t>contributions at the expected monetary levels from the preceding valuation (</w:t>
      </w:r>
      <w:r w:rsidR="00AA359E">
        <w:rPr>
          <w:lang w:val="en-GB"/>
        </w:rPr>
        <w:t>including</w:t>
      </w:r>
      <w:r w:rsidRPr="00F82096">
        <w:rPr>
          <w:lang w:val="en-GB"/>
        </w:rPr>
        <w:t xml:space="preserve"> any indexation in </w:t>
      </w:r>
      <w:r w:rsidR="00EC0BFC">
        <w:rPr>
          <w:lang w:val="en-GB"/>
        </w:rPr>
        <w:t xml:space="preserve">the £ deficit contributions </w:t>
      </w:r>
      <w:r w:rsidRPr="00F82096">
        <w:rPr>
          <w:lang w:val="en-GB"/>
        </w:rPr>
        <w:t>over the recovery period).  Full details are set out in this FSS.</w:t>
      </w:r>
    </w:p>
    <w:p w14:paraId="080BA785" w14:textId="44873BC0" w:rsidR="004E58EA" w:rsidRPr="004E58EA" w:rsidRDefault="0031112A" w:rsidP="004E58EA">
      <w:pPr>
        <w:pStyle w:val="DocumentText"/>
      </w:pPr>
      <w:r>
        <w:t xml:space="preserve">The </w:t>
      </w:r>
      <w:r w:rsidR="00EC0BFC">
        <w:t xml:space="preserve">target </w:t>
      </w:r>
      <w:r>
        <w:t>recovery perio</w:t>
      </w:r>
      <w:r w:rsidR="00F2278C">
        <w:t xml:space="preserve">d for the </w:t>
      </w:r>
      <w:r w:rsidR="00177D13">
        <w:rPr>
          <w:rFonts w:cs="Arial"/>
        </w:rPr>
        <w:t>Fund</w:t>
      </w:r>
      <w:r w:rsidR="00F2278C">
        <w:t xml:space="preserve"> as a whole is </w:t>
      </w:r>
      <w:r w:rsidR="00EC0BFC">
        <w:t>16</w:t>
      </w:r>
      <w:r>
        <w:t xml:space="preserve"> years at this valuation which is </w:t>
      </w:r>
      <w:r w:rsidR="00EC0BFC">
        <w:t>3</w:t>
      </w:r>
      <w:r>
        <w:t xml:space="preserve"> years shorter than the </w:t>
      </w:r>
      <w:r w:rsidR="001362F6">
        <w:t>average recovery period from</w:t>
      </w:r>
      <w:r>
        <w:t xml:space="preserve"> the previous valuation.</w:t>
      </w:r>
      <w:r w:rsidR="004E58EA" w:rsidRPr="004E58EA">
        <w:t xml:space="preserve"> Subject to affordability and other considerations individual employer recovery periods would also be expected to reduce by </w:t>
      </w:r>
      <w:r w:rsidR="00EC0BFC">
        <w:t>3</w:t>
      </w:r>
      <w:r w:rsidR="004E58EA" w:rsidRPr="004E58EA">
        <w:t xml:space="preserve"> years at this valuation.  </w:t>
      </w:r>
    </w:p>
    <w:p w14:paraId="64DD3F1C" w14:textId="77777777" w:rsidR="006F78CE" w:rsidRDefault="004E58EA" w:rsidP="00143AC3">
      <w:pPr>
        <w:pStyle w:val="DocumentText"/>
      </w:pPr>
      <w:r w:rsidRPr="004E58EA">
        <w:t xml:space="preserve">Where there is an increase in contributions required at this valuation the employer will be able to step-up </w:t>
      </w:r>
      <w:r w:rsidR="00AA359E">
        <w:t xml:space="preserve">their </w:t>
      </w:r>
      <w:r w:rsidRPr="004E58EA">
        <w:t xml:space="preserve">contributions over a period </w:t>
      </w:r>
      <w:r w:rsidR="00EC0BFC">
        <w:t>to be decided by the Administering Authority.</w:t>
      </w:r>
    </w:p>
    <w:p w14:paraId="2AAF58A9" w14:textId="36BACD19" w:rsidR="0031112A" w:rsidRDefault="006F78CE" w:rsidP="00143AC3">
      <w:pPr>
        <w:pStyle w:val="DocumentText"/>
      </w:pPr>
      <w:r>
        <w:t>In exceptional circumstances the Fund may depart from the above principles for an employer or a particular group of employers.  Any such exceptions would be determined by the</w:t>
      </w:r>
      <w:r>
        <w:rPr>
          <w:rFonts w:cs="Arial"/>
        </w:rPr>
        <w:t xml:space="preserve"> Head of the Fund and reported to the Committee.</w:t>
      </w:r>
    </w:p>
    <w:p w14:paraId="0DB161B7" w14:textId="779D6406" w:rsidR="00143AC3" w:rsidRDefault="00067FC5" w:rsidP="00143AC3">
      <w:pPr>
        <w:pStyle w:val="Heading10"/>
        <w:rPr>
          <w:lang w:val="en-GB"/>
        </w:rPr>
      </w:pPr>
      <w:r w:rsidRPr="001028FE">
        <w:rPr>
          <w:noProof/>
          <w:lang w:val="en-GB" w:eastAsia="en-GB"/>
        </w:rPr>
        <mc:AlternateContent>
          <mc:Choice Requires="wpg">
            <w:drawing>
              <wp:anchor distT="0" distB="0" distL="114300" distR="114300" simplePos="0" relativeHeight="251663360" behindDoc="0" locked="0" layoutInCell="1" allowOverlap="1" wp14:anchorId="7B02B914" wp14:editId="6A22EB25">
                <wp:simplePos x="0" y="0"/>
                <wp:positionH relativeFrom="column">
                  <wp:posOffset>41910</wp:posOffset>
                </wp:positionH>
                <wp:positionV relativeFrom="paragraph">
                  <wp:posOffset>86360</wp:posOffset>
                </wp:positionV>
                <wp:extent cx="488315" cy="556895"/>
                <wp:effectExtent l="0" t="0" r="6985" b="0"/>
                <wp:wrapSquare wrapText="bothSides"/>
                <wp:docPr id="24" name="Group 74"/>
                <wp:cNvGraphicFramePr/>
                <a:graphic xmlns:a="http://schemas.openxmlformats.org/drawingml/2006/main">
                  <a:graphicData uri="http://schemas.microsoft.com/office/word/2010/wordprocessingGroup">
                    <wpg:wgp>
                      <wpg:cNvGrpSpPr/>
                      <wpg:grpSpPr>
                        <a:xfrm>
                          <a:off x="0" y="0"/>
                          <a:ext cx="488315" cy="556895"/>
                          <a:chOff x="0" y="0"/>
                          <a:chExt cx="592138" cy="641350"/>
                        </a:xfrm>
                      </wpg:grpSpPr>
                      <wps:wsp>
                        <wps:cNvPr id="25" name="Freeform 25"/>
                        <wps:cNvSpPr>
                          <a:spLocks/>
                        </wps:cNvSpPr>
                        <wps:spPr bwMode="auto">
                          <a:xfrm>
                            <a:off x="85725" y="84137"/>
                            <a:ext cx="420688" cy="107950"/>
                          </a:xfrm>
                          <a:custGeom>
                            <a:avLst/>
                            <a:gdLst>
                              <a:gd name="T0" fmla="*/ 96 w 98"/>
                              <a:gd name="T1" fmla="*/ 25 h 25"/>
                              <a:gd name="T2" fmla="*/ 3 w 98"/>
                              <a:gd name="T3" fmla="*/ 25 h 25"/>
                              <a:gd name="T4" fmla="*/ 0 w 98"/>
                              <a:gd name="T5" fmla="*/ 22 h 25"/>
                              <a:gd name="T6" fmla="*/ 0 w 98"/>
                              <a:gd name="T7" fmla="*/ 3 h 25"/>
                              <a:gd name="T8" fmla="*/ 3 w 98"/>
                              <a:gd name="T9" fmla="*/ 0 h 25"/>
                              <a:gd name="T10" fmla="*/ 96 w 98"/>
                              <a:gd name="T11" fmla="*/ 0 h 25"/>
                              <a:gd name="T12" fmla="*/ 98 w 98"/>
                              <a:gd name="T13" fmla="*/ 3 h 25"/>
                              <a:gd name="T14" fmla="*/ 98 w 98"/>
                              <a:gd name="T15" fmla="*/ 22 h 25"/>
                              <a:gd name="T16" fmla="*/ 96 w 98"/>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8" h="25">
                                <a:moveTo>
                                  <a:pt x="96" y="25"/>
                                </a:moveTo>
                                <a:cubicBezTo>
                                  <a:pt x="3" y="25"/>
                                  <a:pt x="3" y="25"/>
                                  <a:pt x="3" y="25"/>
                                </a:cubicBezTo>
                                <a:cubicBezTo>
                                  <a:pt x="1" y="25"/>
                                  <a:pt x="0" y="24"/>
                                  <a:pt x="0" y="22"/>
                                </a:cubicBezTo>
                                <a:cubicBezTo>
                                  <a:pt x="0" y="3"/>
                                  <a:pt x="0" y="3"/>
                                  <a:pt x="0" y="3"/>
                                </a:cubicBezTo>
                                <a:cubicBezTo>
                                  <a:pt x="0" y="2"/>
                                  <a:pt x="1" y="0"/>
                                  <a:pt x="3" y="0"/>
                                </a:cubicBezTo>
                                <a:cubicBezTo>
                                  <a:pt x="96" y="0"/>
                                  <a:pt x="96" y="0"/>
                                  <a:pt x="96" y="0"/>
                                </a:cubicBezTo>
                                <a:cubicBezTo>
                                  <a:pt x="97" y="0"/>
                                  <a:pt x="98" y="2"/>
                                  <a:pt x="98" y="3"/>
                                </a:cubicBezTo>
                                <a:cubicBezTo>
                                  <a:pt x="98" y="22"/>
                                  <a:pt x="98" y="22"/>
                                  <a:pt x="98" y="22"/>
                                </a:cubicBezTo>
                                <a:cubicBezTo>
                                  <a:pt x="98" y="24"/>
                                  <a:pt x="97" y="25"/>
                                  <a:pt x="96" y="25"/>
                                </a:cubicBezTo>
                                <a:close/>
                              </a:path>
                            </a:pathLst>
                          </a:custGeom>
                          <a:solidFill>
                            <a:schemeClr val="bg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noEditPoints="1"/>
                        </wps:cNvSpPr>
                        <wps:spPr bwMode="auto">
                          <a:xfrm>
                            <a:off x="0" y="0"/>
                            <a:ext cx="592138" cy="641350"/>
                          </a:xfrm>
                          <a:custGeom>
                            <a:avLst/>
                            <a:gdLst>
                              <a:gd name="T0" fmla="*/ 121 w 138"/>
                              <a:gd name="T1" fmla="*/ 0 h 150"/>
                              <a:gd name="T2" fmla="*/ 17 w 138"/>
                              <a:gd name="T3" fmla="*/ 0 h 150"/>
                              <a:gd name="T4" fmla="*/ 0 w 138"/>
                              <a:gd name="T5" fmla="*/ 16 h 150"/>
                              <a:gd name="T6" fmla="*/ 0 w 138"/>
                              <a:gd name="T7" fmla="*/ 134 h 150"/>
                              <a:gd name="T8" fmla="*/ 17 w 138"/>
                              <a:gd name="T9" fmla="*/ 150 h 150"/>
                              <a:gd name="T10" fmla="*/ 121 w 138"/>
                              <a:gd name="T11" fmla="*/ 150 h 150"/>
                              <a:gd name="T12" fmla="*/ 138 w 138"/>
                              <a:gd name="T13" fmla="*/ 134 h 150"/>
                              <a:gd name="T14" fmla="*/ 138 w 138"/>
                              <a:gd name="T15" fmla="*/ 16 h 150"/>
                              <a:gd name="T16" fmla="*/ 121 w 138"/>
                              <a:gd name="T17" fmla="*/ 0 h 150"/>
                              <a:gd name="T18" fmla="*/ 34 w 138"/>
                              <a:gd name="T19" fmla="*/ 132 h 150"/>
                              <a:gd name="T20" fmla="*/ 20 w 138"/>
                              <a:gd name="T21" fmla="*/ 118 h 150"/>
                              <a:gd name="T22" fmla="*/ 34 w 138"/>
                              <a:gd name="T23" fmla="*/ 104 h 150"/>
                              <a:gd name="T24" fmla="*/ 47 w 138"/>
                              <a:gd name="T25" fmla="*/ 118 h 150"/>
                              <a:gd name="T26" fmla="*/ 34 w 138"/>
                              <a:gd name="T27" fmla="*/ 132 h 150"/>
                              <a:gd name="T28" fmla="*/ 34 w 138"/>
                              <a:gd name="T29" fmla="*/ 94 h 150"/>
                              <a:gd name="T30" fmla="*/ 20 w 138"/>
                              <a:gd name="T31" fmla="*/ 80 h 150"/>
                              <a:gd name="T32" fmla="*/ 34 w 138"/>
                              <a:gd name="T33" fmla="*/ 67 h 150"/>
                              <a:gd name="T34" fmla="*/ 47 w 138"/>
                              <a:gd name="T35" fmla="*/ 80 h 150"/>
                              <a:gd name="T36" fmla="*/ 34 w 138"/>
                              <a:gd name="T37" fmla="*/ 94 h 150"/>
                              <a:gd name="T38" fmla="*/ 69 w 138"/>
                              <a:gd name="T39" fmla="*/ 132 h 150"/>
                              <a:gd name="T40" fmla="*/ 55 w 138"/>
                              <a:gd name="T41" fmla="*/ 118 h 150"/>
                              <a:gd name="T42" fmla="*/ 69 w 138"/>
                              <a:gd name="T43" fmla="*/ 104 h 150"/>
                              <a:gd name="T44" fmla="*/ 83 w 138"/>
                              <a:gd name="T45" fmla="*/ 118 h 150"/>
                              <a:gd name="T46" fmla="*/ 69 w 138"/>
                              <a:gd name="T47" fmla="*/ 132 h 150"/>
                              <a:gd name="T48" fmla="*/ 55 w 138"/>
                              <a:gd name="T49" fmla="*/ 80 h 150"/>
                              <a:gd name="T50" fmla="*/ 69 w 138"/>
                              <a:gd name="T51" fmla="*/ 67 h 150"/>
                              <a:gd name="T52" fmla="*/ 83 w 138"/>
                              <a:gd name="T53" fmla="*/ 80 h 150"/>
                              <a:gd name="T54" fmla="*/ 69 w 138"/>
                              <a:gd name="T55" fmla="*/ 94 h 150"/>
                              <a:gd name="T56" fmla="*/ 55 w 138"/>
                              <a:gd name="T57" fmla="*/ 80 h 150"/>
                              <a:gd name="T58" fmla="*/ 104 w 138"/>
                              <a:gd name="T59" fmla="*/ 132 h 150"/>
                              <a:gd name="T60" fmla="*/ 91 w 138"/>
                              <a:gd name="T61" fmla="*/ 118 h 150"/>
                              <a:gd name="T62" fmla="*/ 104 w 138"/>
                              <a:gd name="T63" fmla="*/ 104 h 150"/>
                              <a:gd name="T64" fmla="*/ 118 w 138"/>
                              <a:gd name="T65" fmla="*/ 118 h 150"/>
                              <a:gd name="T66" fmla="*/ 104 w 138"/>
                              <a:gd name="T67" fmla="*/ 132 h 150"/>
                              <a:gd name="T68" fmla="*/ 91 w 138"/>
                              <a:gd name="T69" fmla="*/ 80 h 150"/>
                              <a:gd name="T70" fmla="*/ 104 w 138"/>
                              <a:gd name="T71" fmla="*/ 67 h 150"/>
                              <a:gd name="T72" fmla="*/ 118 w 138"/>
                              <a:gd name="T73" fmla="*/ 80 h 150"/>
                              <a:gd name="T74" fmla="*/ 104 w 138"/>
                              <a:gd name="T75" fmla="*/ 94 h 150"/>
                              <a:gd name="T76" fmla="*/ 91 w 138"/>
                              <a:gd name="T77" fmla="*/ 80 h 150"/>
                              <a:gd name="T78" fmla="*/ 124 w 138"/>
                              <a:gd name="T79" fmla="*/ 42 h 150"/>
                              <a:gd name="T80" fmla="*/ 116 w 138"/>
                              <a:gd name="T81" fmla="*/ 50 h 150"/>
                              <a:gd name="T82" fmla="*/ 23 w 138"/>
                              <a:gd name="T83" fmla="*/ 50 h 150"/>
                              <a:gd name="T84" fmla="*/ 14 w 138"/>
                              <a:gd name="T85" fmla="*/ 42 h 150"/>
                              <a:gd name="T86" fmla="*/ 14 w 138"/>
                              <a:gd name="T87" fmla="*/ 23 h 150"/>
                              <a:gd name="T88" fmla="*/ 23 w 138"/>
                              <a:gd name="T89" fmla="*/ 15 h 150"/>
                              <a:gd name="T90" fmla="*/ 116 w 138"/>
                              <a:gd name="T91" fmla="*/ 15 h 150"/>
                              <a:gd name="T92" fmla="*/ 124 w 138"/>
                              <a:gd name="T93" fmla="*/ 23 h 150"/>
                              <a:gd name="T94" fmla="*/ 124 w 138"/>
                              <a:gd name="T95" fmla="*/ 42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38" h="150">
                                <a:moveTo>
                                  <a:pt x="121" y="0"/>
                                </a:moveTo>
                                <a:cubicBezTo>
                                  <a:pt x="17" y="0"/>
                                  <a:pt x="17" y="0"/>
                                  <a:pt x="17" y="0"/>
                                </a:cubicBezTo>
                                <a:cubicBezTo>
                                  <a:pt x="8" y="0"/>
                                  <a:pt x="0" y="7"/>
                                  <a:pt x="0" y="16"/>
                                </a:cubicBezTo>
                                <a:cubicBezTo>
                                  <a:pt x="0" y="134"/>
                                  <a:pt x="0" y="134"/>
                                  <a:pt x="0" y="134"/>
                                </a:cubicBezTo>
                                <a:cubicBezTo>
                                  <a:pt x="0" y="143"/>
                                  <a:pt x="8" y="150"/>
                                  <a:pt x="17" y="150"/>
                                </a:cubicBezTo>
                                <a:cubicBezTo>
                                  <a:pt x="121" y="150"/>
                                  <a:pt x="121" y="150"/>
                                  <a:pt x="121" y="150"/>
                                </a:cubicBezTo>
                                <a:cubicBezTo>
                                  <a:pt x="131" y="150"/>
                                  <a:pt x="138" y="143"/>
                                  <a:pt x="138" y="134"/>
                                </a:cubicBezTo>
                                <a:cubicBezTo>
                                  <a:pt x="138" y="16"/>
                                  <a:pt x="138" y="16"/>
                                  <a:pt x="138" y="16"/>
                                </a:cubicBezTo>
                                <a:cubicBezTo>
                                  <a:pt x="138" y="7"/>
                                  <a:pt x="131" y="0"/>
                                  <a:pt x="121" y="0"/>
                                </a:cubicBezTo>
                                <a:close/>
                                <a:moveTo>
                                  <a:pt x="34" y="132"/>
                                </a:moveTo>
                                <a:cubicBezTo>
                                  <a:pt x="26" y="132"/>
                                  <a:pt x="20" y="126"/>
                                  <a:pt x="20" y="118"/>
                                </a:cubicBezTo>
                                <a:cubicBezTo>
                                  <a:pt x="20" y="111"/>
                                  <a:pt x="26" y="104"/>
                                  <a:pt x="34" y="104"/>
                                </a:cubicBezTo>
                                <a:cubicBezTo>
                                  <a:pt x="41" y="104"/>
                                  <a:pt x="47" y="111"/>
                                  <a:pt x="47" y="118"/>
                                </a:cubicBezTo>
                                <a:cubicBezTo>
                                  <a:pt x="47" y="126"/>
                                  <a:pt x="41" y="132"/>
                                  <a:pt x="34" y="132"/>
                                </a:cubicBezTo>
                                <a:close/>
                                <a:moveTo>
                                  <a:pt x="34" y="94"/>
                                </a:moveTo>
                                <a:cubicBezTo>
                                  <a:pt x="26" y="94"/>
                                  <a:pt x="20" y="88"/>
                                  <a:pt x="20" y="80"/>
                                </a:cubicBezTo>
                                <a:cubicBezTo>
                                  <a:pt x="20" y="73"/>
                                  <a:pt x="26" y="67"/>
                                  <a:pt x="34" y="67"/>
                                </a:cubicBezTo>
                                <a:cubicBezTo>
                                  <a:pt x="41" y="67"/>
                                  <a:pt x="47" y="73"/>
                                  <a:pt x="47" y="80"/>
                                </a:cubicBezTo>
                                <a:cubicBezTo>
                                  <a:pt x="47" y="88"/>
                                  <a:pt x="41" y="94"/>
                                  <a:pt x="34" y="94"/>
                                </a:cubicBezTo>
                                <a:close/>
                                <a:moveTo>
                                  <a:pt x="69" y="132"/>
                                </a:moveTo>
                                <a:cubicBezTo>
                                  <a:pt x="62" y="132"/>
                                  <a:pt x="55" y="126"/>
                                  <a:pt x="55" y="118"/>
                                </a:cubicBezTo>
                                <a:cubicBezTo>
                                  <a:pt x="55" y="111"/>
                                  <a:pt x="62" y="104"/>
                                  <a:pt x="69" y="104"/>
                                </a:cubicBezTo>
                                <a:cubicBezTo>
                                  <a:pt x="77" y="104"/>
                                  <a:pt x="83" y="111"/>
                                  <a:pt x="83" y="118"/>
                                </a:cubicBezTo>
                                <a:cubicBezTo>
                                  <a:pt x="83" y="126"/>
                                  <a:pt x="77" y="132"/>
                                  <a:pt x="69" y="132"/>
                                </a:cubicBezTo>
                                <a:close/>
                                <a:moveTo>
                                  <a:pt x="55" y="80"/>
                                </a:moveTo>
                                <a:cubicBezTo>
                                  <a:pt x="55" y="73"/>
                                  <a:pt x="62" y="67"/>
                                  <a:pt x="69" y="67"/>
                                </a:cubicBezTo>
                                <a:cubicBezTo>
                                  <a:pt x="77" y="67"/>
                                  <a:pt x="83" y="73"/>
                                  <a:pt x="83" y="80"/>
                                </a:cubicBezTo>
                                <a:cubicBezTo>
                                  <a:pt x="83" y="88"/>
                                  <a:pt x="77" y="94"/>
                                  <a:pt x="69" y="94"/>
                                </a:cubicBezTo>
                                <a:cubicBezTo>
                                  <a:pt x="62" y="94"/>
                                  <a:pt x="55" y="88"/>
                                  <a:pt x="55" y="80"/>
                                </a:cubicBezTo>
                                <a:close/>
                                <a:moveTo>
                                  <a:pt x="104" y="132"/>
                                </a:moveTo>
                                <a:cubicBezTo>
                                  <a:pt x="97" y="132"/>
                                  <a:pt x="91" y="126"/>
                                  <a:pt x="91" y="118"/>
                                </a:cubicBezTo>
                                <a:cubicBezTo>
                                  <a:pt x="91" y="111"/>
                                  <a:pt x="97" y="104"/>
                                  <a:pt x="104" y="104"/>
                                </a:cubicBezTo>
                                <a:cubicBezTo>
                                  <a:pt x="112" y="104"/>
                                  <a:pt x="118" y="111"/>
                                  <a:pt x="118" y="118"/>
                                </a:cubicBezTo>
                                <a:cubicBezTo>
                                  <a:pt x="118" y="126"/>
                                  <a:pt x="112" y="132"/>
                                  <a:pt x="104" y="132"/>
                                </a:cubicBezTo>
                                <a:close/>
                                <a:moveTo>
                                  <a:pt x="91" y="80"/>
                                </a:moveTo>
                                <a:cubicBezTo>
                                  <a:pt x="91" y="73"/>
                                  <a:pt x="97" y="67"/>
                                  <a:pt x="104" y="67"/>
                                </a:cubicBezTo>
                                <a:cubicBezTo>
                                  <a:pt x="112" y="67"/>
                                  <a:pt x="118" y="73"/>
                                  <a:pt x="118" y="80"/>
                                </a:cubicBezTo>
                                <a:cubicBezTo>
                                  <a:pt x="118" y="88"/>
                                  <a:pt x="112" y="94"/>
                                  <a:pt x="104" y="94"/>
                                </a:cubicBezTo>
                                <a:cubicBezTo>
                                  <a:pt x="97" y="94"/>
                                  <a:pt x="91" y="88"/>
                                  <a:pt x="91" y="80"/>
                                </a:cubicBezTo>
                                <a:close/>
                                <a:moveTo>
                                  <a:pt x="124" y="42"/>
                                </a:moveTo>
                                <a:cubicBezTo>
                                  <a:pt x="124" y="47"/>
                                  <a:pt x="120" y="50"/>
                                  <a:pt x="116" y="50"/>
                                </a:cubicBezTo>
                                <a:cubicBezTo>
                                  <a:pt x="23" y="50"/>
                                  <a:pt x="23" y="50"/>
                                  <a:pt x="23" y="50"/>
                                </a:cubicBezTo>
                                <a:cubicBezTo>
                                  <a:pt x="18" y="50"/>
                                  <a:pt x="14" y="47"/>
                                  <a:pt x="14" y="42"/>
                                </a:cubicBezTo>
                                <a:cubicBezTo>
                                  <a:pt x="14" y="23"/>
                                  <a:pt x="14" y="23"/>
                                  <a:pt x="14" y="23"/>
                                </a:cubicBezTo>
                                <a:cubicBezTo>
                                  <a:pt x="14" y="19"/>
                                  <a:pt x="18" y="15"/>
                                  <a:pt x="23" y="15"/>
                                </a:cubicBezTo>
                                <a:cubicBezTo>
                                  <a:pt x="116" y="15"/>
                                  <a:pt x="116" y="15"/>
                                  <a:pt x="116" y="15"/>
                                </a:cubicBezTo>
                                <a:cubicBezTo>
                                  <a:pt x="120" y="15"/>
                                  <a:pt x="124" y="19"/>
                                  <a:pt x="124" y="23"/>
                                </a:cubicBezTo>
                                <a:lnTo>
                                  <a:pt x="124" y="42"/>
                                </a:lnTo>
                                <a:close/>
                              </a:path>
                            </a:pathLst>
                          </a:custGeom>
                          <a:solidFill>
                            <a:srgbClr val="93207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3187" y="303212"/>
                            <a:ext cx="80963" cy="80963"/>
                          </a:xfrm>
                          <a:custGeom>
                            <a:avLst/>
                            <a:gdLst>
                              <a:gd name="T0" fmla="*/ 17 w 19"/>
                              <a:gd name="T1" fmla="*/ 7 h 19"/>
                              <a:gd name="T2" fmla="*/ 12 w 19"/>
                              <a:gd name="T3" fmla="*/ 7 h 19"/>
                              <a:gd name="T4" fmla="*/ 12 w 19"/>
                              <a:gd name="T5" fmla="*/ 2 h 19"/>
                              <a:gd name="T6" fmla="*/ 10 w 19"/>
                              <a:gd name="T7" fmla="*/ 0 h 19"/>
                              <a:gd name="T8" fmla="*/ 7 w 19"/>
                              <a:gd name="T9" fmla="*/ 2 h 19"/>
                              <a:gd name="T10" fmla="*/ 7 w 19"/>
                              <a:gd name="T11" fmla="*/ 7 h 19"/>
                              <a:gd name="T12" fmla="*/ 2 w 19"/>
                              <a:gd name="T13" fmla="*/ 7 h 19"/>
                              <a:gd name="T14" fmla="*/ 0 w 19"/>
                              <a:gd name="T15" fmla="*/ 9 h 19"/>
                              <a:gd name="T16" fmla="*/ 2 w 19"/>
                              <a:gd name="T17" fmla="*/ 12 h 19"/>
                              <a:gd name="T18" fmla="*/ 7 w 19"/>
                              <a:gd name="T19" fmla="*/ 12 h 19"/>
                              <a:gd name="T20" fmla="*/ 7 w 19"/>
                              <a:gd name="T21" fmla="*/ 17 h 19"/>
                              <a:gd name="T22" fmla="*/ 10 w 19"/>
                              <a:gd name="T23" fmla="*/ 19 h 19"/>
                              <a:gd name="T24" fmla="*/ 12 w 19"/>
                              <a:gd name="T25" fmla="*/ 17 h 19"/>
                              <a:gd name="T26" fmla="*/ 12 w 19"/>
                              <a:gd name="T27" fmla="*/ 12 h 19"/>
                              <a:gd name="T28" fmla="*/ 17 w 19"/>
                              <a:gd name="T29" fmla="*/ 12 h 19"/>
                              <a:gd name="T30" fmla="*/ 19 w 19"/>
                              <a:gd name="T31" fmla="*/ 9 h 19"/>
                              <a:gd name="T32" fmla="*/ 17 w 19"/>
                              <a:gd name="T33" fmla="*/ 7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 h="19">
                                <a:moveTo>
                                  <a:pt x="17" y="7"/>
                                </a:moveTo>
                                <a:cubicBezTo>
                                  <a:pt x="12" y="7"/>
                                  <a:pt x="12" y="7"/>
                                  <a:pt x="12" y="7"/>
                                </a:cubicBezTo>
                                <a:cubicBezTo>
                                  <a:pt x="12" y="2"/>
                                  <a:pt x="12" y="2"/>
                                  <a:pt x="12" y="2"/>
                                </a:cubicBezTo>
                                <a:cubicBezTo>
                                  <a:pt x="12" y="1"/>
                                  <a:pt x="11" y="0"/>
                                  <a:pt x="10" y="0"/>
                                </a:cubicBezTo>
                                <a:cubicBezTo>
                                  <a:pt x="8" y="0"/>
                                  <a:pt x="7" y="1"/>
                                  <a:pt x="7" y="2"/>
                                </a:cubicBezTo>
                                <a:cubicBezTo>
                                  <a:pt x="7" y="7"/>
                                  <a:pt x="7" y="7"/>
                                  <a:pt x="7" y="7"/>
                                </a:cubicBezTo>
                                <a:cubicBezTo>
                                  <a:pt x="2" y="7"/>
                                  <a:pt x="2" y="7"/>
                                  <a:pt x="2" y="7"/>
                                </a:cubicBezTo>
                                <a:cubicBezTo>
                                  <a:pt x="1" y="7"/>
                                  <a:pt x="0" y="8"/>
                                  <a:pt x="0" y="9"/>
                                </a:cubicBezTo>
                                <a:cubicBezTo>
                                  <a:pt x="0" y="11"/>
                                  <a:pt x="1" y="12"/>
                                  <a:pt x="2" y="12"/>
                                </a:cubicBezTo>
                                <a:cubicBezTo>
                                  <a:pt x="7" y="12"/>
                                  <a:pt x="7" y="12"/>
                                  <a:pt x="7" y="12"/>
                                </a:cubicBezTo>
                                <a:cubicBezTo>
                                  <a:pt x="7" y="17"/>
                                  <a:pt x="7" y="17"/>
                                  <a:pt x="7" y="17"/>
                                </a:cubicBezTo>
                                <a:cubicBezTo>
                                  <a:pt x="7" y="18"/>
                                  <a:pt x="8" y="19"/>
                                  <a:pt x="10" y="19"/>
                                </a:cubicBezTo>
                                <a:cubicBezTo>
                                  <a:pt x="11" y="19"/>
                                  <a:pt x="12" y="18"/>
                                  <a:pt x="12" y="17"/>
                                </a:cubicBezTo>
                                <a:cubicBezTo>
                                  <a:pt x="12" y="12"/>
                                  <a:pt x="12" y="12"/>
                                  <a:pt x="12" y="12"/>
                                </a:cubicBezTo>
                                <a:cubicBezTo>
                                  <a:pt x="17" y="12"/>
                                  <a:pt x="17" y="12"/>
                                  <a:pt x="17" y="12"/>
                                </a:cubicBezTo>
                                <a:cubicBezTo>
                                  <a:pt x="18" y="12"/>
                                  <a:pt x="19" y="11"/>
                                  <a:pt x="19" y="9"/>
                                </a:cubicBezTo>
                                <a:cubicBezTo>
                                  <a:pt x="19" y="8"/>
                                  <a:pt x="18" y="7"/>
                                  <a:pt x="17" y="7"/>
                                </a:cubicBezTo>
                                <a:close/>
                              </a:path>
                            </a:pathLst>
                          </a:custGeom>
                          <a:solidFill>
                            <a:srgbClr val="1C3A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254000" y="333375"/>
                            <a:ext cx="84138" cy="20638"/>
                          </a:xfrm>
                          <a:custGeom>
                            <a:avLst/>
                            <a:gdLst>
                              <a:gd name="T0" fmla="*/ 3 w 20"/>
                              <a:gd name="T1" fmla="*/ 5 h 5"/>
                              <a:gd name="T2" fmla="*/ 17 w 20"/>
                              <a:gd name="T3" fmla="*/ 5 h 5"/>
                              <a:gd name="T4" fmla="*/ 20 w 20"/>
                              <a:gd name="T5" fmla="*/ 2 h 5"/>
                              <a:gd name="T6" fmla="*/ 17 w 20"/>
                              <a:gd name="T7" fmla="*/ 0 h 5"/>
                              <a:gd name="T8" fmla="*/ 3 w 20"/>
                              <a:gd name="T9" fmla="*/ 0 h 5"/>
                              <a:gd name="T10" fmla="*/ 0 w 20"/>
                              <a:gd name="T11" fmla="*/ 2 h 5"/>
                              <a:gd name="T12" fmla="*/ 3 w 20"/>
                              <a:gd name="T13" fmla="*/ 5 h 5"/>
                            </a:gdLst>
                            <a:ahLst/>
                            <a:cxnLst>
                              <a:cxn ang="0">
                                <a:pos x="T0" y="T1"/>
                              </a:cxn>
                              <a:cxn ang="0">
                                <a:pos x="T2" y="T3"/>
                              </a:cxn>
                              <a:cxn ang="0">
                                <a:pos x="T4" y="T5"/>
                              </a:cxn>
                              <a:cxn ang="0">
                                <a:pos x="T6" y="T7"/>
                              </a:cxn>
                              <a:cxn ang="0">
                                <a:pos x="T8" y="T9"/>
                              </a:cxn>
                              <a:cxn ang="0">
                                <a:pos x="T10" y="T11"/>
                              </a:cxn>
                              <a:cxn ang="0">
                                <a:pos x="T12" y="T13"/>
                              </a:cxn>
                            </a:cxnLst>
                            <a:rect l="0" t="0" r="r" b="b"/>
                            <a:pathLst>
                              <a:path w="20" h="5">
                                <a:moveTo>
                                  <a:pt x="3" y="5"/>
                                </a:moveTo>
                                <a:cubicBezTo>
                                  <a:pt x="17" y="5"/>
                                  <a:pt x="17" y="5"/>
                                  <a:pt x="17" y="5"/>
                                </a:cubicBezTo>
                                <a:cubicBezTo>
                                  <a:pt x="19" y="5"/>
                                  <a:pt x="20" y="4"/>
                                  <a:pt x="20" y="2"/>
                                </a:cubicBezTo>
                                <a:cubicBezTo>
                                  <a:pt x="20" y="1"/>
                                  <a:pt x="19" y="0"/>
                                  <a:pt x="17" y="0"/>
                                </a:cubicBezTo>
                                <a:cubicBezTo>
                                  <a:pt x="3" y="0"/>
                                  <a:pt x="3" y="0"/>
                                  <a:pt x="3" y="0"/>
                                </a:cubicBezTo>
                                <a:cubicBezTo>
                                  <a:pt x="1" y="0"/>
                                  <a:pt x="0" y="1"/>
                                  <a:pt x="0" y="2"/>
                                </a:cubicBezTo>
                                <a:cubicBezTo>
                                  <a:pt x="0" y="4"/>
                                  <a:pt x="1" y="5"/>
                                  <a:pt x="3" y="5"/>
                                </a:cubicBezTo>
                                <a:close/>
                              </a:path>
                            </a:pathLst>
                          </a:custGeom>
                          <a:solidFill>
                            <a:srgbClr val="1C3A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112712" y="469900"/>
                            <a:ext cx="68263" cy="68263"/>
                          </a:xfrm>
                          <a:custGeom>
                            <a:avLst/>
                            <a:gdLst>
                              <a:gd name="T0" fmla="*/ 15 w 16"/>
                              <a:gd name="T1" fmla="*/ 1 h 16"/>
                              <a:gd name="T2" fmla="*/ 11 w 16"/>
                              <a:gd name="T3" fmla="*/ 1 h 16"/>
                              <a:gd name="T4" fmla="*/ 8 w 16"/>
                              <a:gd name="T5" fmla="*/ 5 h 16"/>
                              <a:gd name="T6" fmla="*/ 4 w 16"/>
                              <a:gd name="T7" fmla="*/ 1 h 16"/>
                              <a:gd name="T8" fmla="*/ 1 w 16"/>
                              <a:gd name="T9" fmla="*/ 1 h 16"/>
                              <a:gd name="T10" fmla="*/ 1 w 16"/>
                              <a:gd name="T11" fmla="*/ 4 h 16"/>
                              <a:gd name="T12" fmla="*/ 4 w 16"/>
                              <a:gd name="T13" fmla="*/ 8 h 16"/>
                              <a:gd name="T14" fmla="*/ 1 w 16"/>
                              <a:gd name="T15" fmla="*/ 12 h 16"/>
                              <a:gd name="T16" fmla="*/ 1 w 16"/>
                              <a:gd name="T17" fmla="*/ 15 h 16"/>
                              <a:gd name="T18" fmla="*/ 3 w 16"/>
                              <a:gd name="T19" fmla="*/ 16 h 16"/>
                              <a:gd name="T20" fmla="*/ 4 w 16"/>
                              <a:gd name="T21" fmla="*/ 15 h 16"/>
                              <a:gd name="T22" fmla="*/ 8 w 16"/>
                              <a:gd name="T23" fmla="*/ 11 h 16"/>
                              <a:gd name="T24" fmla="*/ 11 w 16"/>
                              <a:gd name="T25" fmla="*/ 15 h 16"/>
                              <a:gd name="T26" fmla="*/ 13 w 16"/>
                              <a:gd name="T27" fmla="*/ 16 h 16"/>
                              <a:gd name="T28" fmla="*/ 15 w 16"/>
                              <a:gd name="T29" fmla="*/ 15 h 16"/>
                              <a:gd name="T30" fmla="*/ 15 w 16"/>
                              <a:gd name="T31" fmla="*/ 12 h 16"/>
                              <a:gd name="T32" fmla="*/ 11 w 16"/>
                              <a:gd name="T33" fmla="*/ 8 h 16"/>
                              <a:gd name="T34" fmla="*/ 15 w 16"/>
                              <a:gd name="T35" fmla="*/ 4 h 16"/>
                              <a:gd name="T36" fmla="*/ 15 w 16"/>
                              <a:gd name="T37" fmla="*/ 1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 h="16">
                                <a:moveTo>
                                  <a:pt x="15" y="1"/>
                                </a:moveTo>
                                <a:cubicBezTo>
                                  <a:pt x="14" y="0"/>
                                  <a:pt x="12" y="0"/>
                                  <a:pt x="11" y="1"/>
                                </a:cubicBezTo>
                                <a:cubicBezTo>
                                  <a:pt x="8" y="5"/>
                                  <a:pt x="8" y="5"/>
                                  <a:pt x="8" y="5"/>
                                </a:cubicBezTo>
                                <a:cubicBezTo>
                                  <a:pt x="4" y="1"/>
                                  <a:pt x="4" y="1"/>
                                  <a:pt x="4" y="1"/>
                                </a:cubicBezTo>
                                <a:cubicBezTo>
                                  <a:pt x="3" y="0"/>
                                  <a:pt x="2" y="0"/>
                                  <a:pt x="1" y="1"/>
                                </a:cubicBezTo>
                                <a:cubicBezTo>
                                  <a:pt x="0" y="2"/>
                                  <a:pt x="0" y="4"/>
                                  <a:pt x="1" y="4"/>
                                </a:cubicBezTo>
                                <a:cubicBezTo>
                                  <a:pt x="4" y="8"/>
                                  <a:pt x="4" y="8"/>
                                  <a:pt x="4" y="8"/>
                                </a:cubicBezTo>
                                <a:cubicBezTo>
                                  <a:pt x="1" y="12"/>
                                  <a:pt x="1" y="12"/>
                                  <a:pt x="1" y="12"/>
                                </a:cubicBezTo>
                                <a:cubicBezTo>
                                  <a:pt x="0" y="13"/>
                                  <a:pt x="0" y="14"/>
                                  <a:pt x="1" y="15"/>
                                </a:cubicBezTo>
                                <a:cubicBezTo>
                                  <a:pt x="1" y="15"/>
                                  <a:pt x="2" y="16"/>
                                  <a:pt x="3" y="16"/>
                                </a:cubicBezTo>
                                <a:cubicBezTo>
                                  <a:pt x="3" y="16"/>
                                  <a:pt x="4" y="15"/>
                                  <a:pt x="4" y="15"/>
                                </a:cubicBezTo>
                                <a:cubicBezTo>
                                  <a:pt x="8" y="11"/>
                                  <a:pt x="8" y="11"/>
                                  <a:pt x="8" y="11"/>
                                </a:cubicBezTo>
                                <a:cubicBezTo>
                                  <a:pt x="11" y="15"/>
                                  <a:pt x="11" y="15"/>
                                  <a:pt x="11" y="15"/>
                                </a:cubicBezTo>
                                <a:cubicBezTo>
                                  <a:pt x="12" y="15"/>
                                  <a:pt x="12" y="16"/>
                                  <a:pt x="13" y="16"/>
                                </a:cubicBezTo>
                                <a:cubicBezTo>
                                  <a:pt x="14" y="16"/>
                                  <a:pt x="14" y="15"/>
                                  <a:pt x="15" y="15"/>
                                </a:cubicBezTo>
                                <a:cubicBezTo>
                                  <a:pt x="16" y="14"/>
                                  <a:pt x="16" y="13"/>
                                  <a:pt x="15" y="12"/>
                                </a:cubicBezTo>
                                <a:cubicBezTo>
                                  <a:pt x="11" y="8"/>
                                  <a:pt x="11" y="8"/>
                                  <a:pt x="11" y="8"/>
                                </a:cubicBezTo>
                                <a:cubicBezTo>
                                  <a:pt x="15" y="4"/>
                                  <a:pt x="15" y="4"/>
                                  <a:pt x="15" y="4"/>
                                </a:cubicBezTo>
                                <a:cubicBezTo>
                                  <a:pt x="16" y="4"/>
                                  <a:pt x="16" y="2"/>
                                  <a:pt x="15" y="1"/>
                                </a:cubicBezTo>
                                <a:close/>
                              </a:path>
                            </a:pathLst>
                          </a:custGeom>
                          <a:solidFill>
                            <a:srgbClr val="1C3A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noEditPoints="1"/>
                        </wps:cNvSpPr>
                        <wps:spPr bwMode="auto">
                          <a:xfrm>
                            <a:off x="254000" y="461962"/>
                            <a:ext cx="84138" cy="85725"/>
                          </a:xfrm>
                          <a:custGeom>
                            <a:avLst/>
                            <a:gdLst>
                              <a:gd name="T0" fmla="*/ 20 w 20"/>
                              <a:gd name="T1" fmla="*/ 10 h 20"/>
                              <a:gd name="T2" fmla="*/ 17 w 20"/>
                              <a:gd name="T3" fmla="*/ 12 h 20"/>
                              <a:gd name="T4" fmla="*/ 3 w 20"/>
                              <a:gd name="T5" fmla="*/ 12 h 20"/>
                              <a:gd name="T6" fmla="*/ 0 w 20"/>
                              <a:gd name="T7" fmla="*/ 10 h 20"/>
                              <a:gd name="T8" fmla="*/ 3 w 20"/>
                              <a:gd name="T9" fmla="*/ 8 h 20"/>
                              <a:gd name="T10" fmla="*/ 17 w 20"/>
                              <a:gd name="T11" fmla="*/ 8 h 20"/>
                              <a:gd name="T12" fmla="*/ 20 w 20"/>
                              <a:gd name="T13" fmla="*/ 10 h 20"/>
                              <a:gd name="T14" fmla="*/ 10 w 20"/>
                              <a:gd name="T15" fmla="*/ 14 h 20"/>
                              <a:gd name="T16" fmla="*/ 7 w 20"/>
                              <a:gd name="T17" fmla="*/ 17 h 20"/>
                              <a:gd name="T18" fmla="*/ 10 w 20"/>
                              <a:gd name="T19" fmla="*/ 20 h 20"/>
                              <a:gd name="T20" fmla="*/ 13 w 20"/>
                              <a:gd name="T21" fmla="*/ 17 h 20"/>
                              <a:gd name="T22" fmla="*/ 10 w 20"/>
                              <a:gd name="T23" fmla="*/ 14 h 20"/>
                              <a:gd name="T24" fmla="*/ 10 w 20"/>
                              <a:gd name="T25" fmla="*/ 6 h 20"/>
                              <a:gd name="T26" fmla="*/ 13 w 20"/>
                              <a:gd name="T27" fmla="*/ 3 h 20"/>
                              <a:gd name="T28" fmla="*/ 10 w 20"/>
                              <a:gd name="T29" fmla="*/ 0 h 20"/>
                              <a:gd name="T30" fmla="*/ 7 w 20"/>
                              <a:gd name="T31" fmla="*/ 3 h 20"/>
                              <a:gd name="T32" fmla="*/ 10 w 20"/>
                              <a:gd name="T33"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0">
                                <a:moveTo>
                                  <a:pt x="20" y="10"/>
                                </a:moveTo>
                                <a:cubicBezTo>
                                  <a:pt x="20" y="11"/>
                                  <a:pt x="19" y="12"/>
                                  <a:pt x="17" y="12"/>
                                </a:cubicBezTo>
                                <a:cubicBezTo>
                                  <a:pt x="3" y="12"/>
                                  <a:pt x="3" y="12"/>
                                  <a:pt x="3" y="12"/>
                                </a:cubicBezTo>
                                <a:cubicBezTo>
                                  <a:pt x="1" y="12"/>
                                  <a:pt x="0" y="11"/>
                                  <a:pt x="0" y="10"/>
                                </a:cubicBezTo>
                                <a:cubicBezTo>
                                  <a:pt x="0" y="9"/>
                                  <a:pt x="1" y="8"/>
                                  <a:pt x="3" y="8"/>
                                </a:cubicBezTo>
                                <a:cubicBezTo>
                                  <a:pt x="17" y="8"/>
                                  <a:pt x="17" y="8"/>
                                  <a:pt x="17" y="8"/>
                                </a:cubicBezTo>
                                <a:cubicBezTo>
                                  <a:pt x="19" y="8"/>
                                  <a:pt x="20" y="9"/>
                                  <a:pt x="20" y="10"/>
                                </a:cubicBezTo>
                                <a:close/>
                                <a:moveTo>
                                  <a:pt x="10" y="14"/>
                                </a:moveTo>
                                <a:cubicBezTo>
                                  <a:pt x="9" y="14"/>
                                  <a:pt x="7" y="15"/>
                                  <a:pt x="7" y="17"/>
                                </a:cubicBezTo>
                                <a:cubicBezTo>
                                  <a:pt x="7" y="19"/>
                                  <a:pt x="9" y="20"/>
                                  <a:pt x="10" y="20"/>
                                </a:cubicBezTo>
                                <a:cubicBezTo>
                                  <a:pt x="12" y="20"/>
                                  <a:pt x="13" y="19"/>
                                  <a:pt x="13" y="17"/>
                                </a:cubicBezTo>
                                <a:cubicBezTo>
                                  <a:pt x="13" y="15"/>
                                  <a:pt x="12" y="14"/>
                                  <a:pt x="10" y="14"/>
                                </a:cubicBezTo>
                                <a:close/>
                                <a:moveTo>
                                  <a:pt x="10" y="6"/>
                                </a:moveTo>
                                <a:cubicBezTo>
                                  <a:pt x="12" y="6"/>
                                  <a:pt x="13" y="5"/>
                                  <a:pt x="13" y="3"/>
                                </a:cubicBezTo>
                                <a:cubicBezTo>
                                  <a:pt x="13" y="2"/>
                                  <a:pt x="12" y="0"/>
                                  <a:pt x="10" y="0"/>
                                </a:cubicBezTo>
                                <a:cubicBezTo>
                                  <a:pt x="9" y="0"/>
                                  <a:pt x="7" y="2"/>
                                  <a:pt x="7" y="3"/>
                                </a:cubicBezTo>
                                <a:cubicBezTo>
                                  <a:pt x="7" y="5"/>
                                  <a:pt x="9" y="6"/>
                                  <a:pt x="10" y="6"/>
                                </a:cubicBezTo>
                                <a:close/>
                              </a:path>
                            </a:pathLst>
                          </a:custGeom>
                          <a:solidFill>
                            <a:srgbClr val="1C3A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noEditPoints="1"/>
                        </wps:cNvSpPr>
                        <wps:spPr bwMode="auto">
                          <a:xfrm>
                            <a:off x="415925" y="479425"/>
                            <a:ext cx="63500" cy="50800"/>
                          </a:xfrm>
                          <a:custGeom>
                            <a:avLst/>
                            <a:gdLst>
                              <a:gd name="T0" fmla="*/ 15 w 15"/>
                              <a:gd name="T1" fmla="*/ 10 h 12"/>
                              <a:gd name="T2" fmla="*/ 13 w 15"/>
                              <a:gd name="T3" fmla="*/ 12 h 12"/>
                              <a:gd name="T4" fmla="*/ 1 w 15"/>
                              <a:gd name="T5" fmla="*/ 12 h 12"/>
                              <a:gd name="T6" fmla="*/ 0 w 15"/>
                              <a:gd name="T7" fmla="*/ 10 h 12"/>
                              <a:gd name="T8" fmla="*/ 1 w 15"/>
                              <a:gd name="T9" fmla="*/ 8 h 12"/>
                              <a:gd name="T10" fmla="*/ 13 w 15"/>
                              <a:gd name="T11" fmla="*/ 8 h 12"/>
                              <a:gd name="T12" fmla="*/ 15 w 15"/>
                              <a:gd name="T13" fmla="*/ 10 h 12"/>
                              <a:gd name="T14" fmla="*/ 13 w 15"/>
                              <a:gd name="T15" fmla="*/ 0 h 12"/>
                              <a:gd name="T16" fmla="*/ 1 w 15"/>
                              <a:gd name="T17" fmla="*/ 0 h 12"/>
                              <a:gd name="T18" fmla="*/ 0 w 15"/>
                              <a:gd name="T19" fmla="*/ 3 h 12"/>
                              <a:gd name="T20" fmla="*/ 1 w 15"/>
                              <a:gd name="T21" fmla="*/ 5 h 12"/>
                              <a:gd name="T22" fmla="*/ 13 w 15"/>
                              <a:gd name="T23" fmla="*/ 5 h 12"/>
                              <a:gd name="T24" fmla="*/ 15 w 15"/>
                              <a:gd name="T25" fmla="*/ 3 h 12"/>
                              <a:gd name="T26" fmla="*/ 13 w 15"/>
                              <a:gd name="T27"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 h="12">
                                <a:moveTo>
                                  <a:pt x="15" y="10"/>
                                </a:moveTo>
                                <a:cubicBezTo>
                                  <a:pt x="15" y="11"/>
                                  <a:pt x="14" y="12"/>
                                  <a:pt x="13" y="12"/>
                                </a:cubicBezTo>
                                <a:cubicBezTo>
                                  <a:pt x="1" y="12"/>
                                  <a:pt x="1" y="12"/>
                                  <a:pt x="1" y="12"/>
                                </a:cubicBezTo>
                                <a:cubicBezTo>
                                  <a:pt x="0" y="12"/>
                                  <a:pt x="0" y="11"/>
                                  <a:pt x="0" y="10"/>
                                </a:cubicBezTo>
                                <a:cubicBezTo>
                                  <a:pt x="0" y="9"/>
                                  <a:pt x="0" y="8"/>
                                  <a:pt x="1" y="8"/>
                                </a:cubicBezTo>
                                <a:cubicBezTo>
                                  <a:pt x="13" y="8"/>
                                  <a:pt x="13" y="8"/>
                                  <a:pt x="13" y="8"/>
                                </a:cubicBezTo>
                                <a:cubicBezTo>
                                  <a:pt x="14" y="8"/>
                                  <a:pt x="15" y="9"/>
                                  <a:pt x="15" y="10"/>
                                </a:cubicBezTo>
                                <a:close/>
                                <a:moveTo>
                                  <a:pt x="13" y="0"/>
                                </a:moveTo>
                                <a:cubicBezTo>
                                  <a:pt x="1" y="0"/>
                                  <a:pt x="1" y="0"/>
                                  <a:pt x="1" y="0"/>
                                </a:cubicBezTo>
                                <a:cubicBezTo>
                                  <a:pt x="0" y="0"/>
                                  <a:pt x="0" y="1"/>
                                  <a:pt x="0" y="3"/>
                                </a:cubicBezTo>
                                <a:cubicBezTo>
                                  <a:pt x="0" y="4"/>
                                  <a:pt x="0" y="5"/>
                                  <a:pt x="1" y="5"/>
                                </a:cubicBezTo>
                                <a:cubicBezTo>
                                  <a:pt x="13" y="5"/>
                                  <a:pt x="13" y="5"/>
                                  <a:pt x="13" y="5"/>
                                </a:cubicBezTo>
                                <a:cubicBezTo>
                                  <a:pt x="14" y="5"/>
                                  <a:pt x="15" y="4"/>
                                  <a:pt x="15" y="3"/>
                                </a:cubicBezTo>
                                <a:cubicBezTo>
                                  <a:pt x="15" y="1"/>
                                  <a:pt x="14" y="0"/>
                                  <a:pt x="13" y="0"/>
                                </a:cubicBezTo>
                                <a:close/>
                              </a:path>
                            </a:pathLst>
                          </a:custGeom>
                          <a:solidFill>
                            <a:srgbClr val="1C3A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411162" y="307975"/>
                            <a:ext cx="65088" cy="73025"/>
                          </a:xfrm>
                          <a:custGeom>
                            <a:avLst/>
                            <a:gdLst>
                              <a:gd name="T0" fmla="*/ 9 w 15"/>
                              <a:gd name="T1" fmla="*/ 17 h 17"/>
                              <a:gd name="T2" fmla="*/ 15 w 15"/>
                              <a:gd name="T3" fmla="*/ 14 h 17"/>
                              <a:gd name="T4" fmla="*/ 15 w 15"/>
                              <a:gd name="T5" fmla="*/ 11 h 17"/>
                              <a:gd name="T6" fmla="*/ 11 w 15"/>
                              <a:gd name="T7" fmla="*/ 11 h 17"/>
                              <a:gd name="T8" fmla="*/ 9 w 15"/>
                              <a:gd name="T9" fmla="*/ 13 h 17"/>
                              <a:gd name="T10" fmla="*/ 5 w 15"/>
                              <a:gd name="T11" fmla="*/ 8 h 17"/>
                              <a:gd name="T12" fmla="*/ 9 w 15"/>
                              <a:gd name="T13" fmla="*/ 4 h 17"/>
                              <a:gd name="T14" fmla="*/ 11 w 15"/>
                              <a:gd name="T15" fmla="*/ 5 h 17"/>
                              <a:gd name="T16" fmla="*/ 15 w 15"/>
                              <a:gd name="T17" fmla="*/ 5 h 17"/>
                              <a:gd name="T18" fmla="*/ 15 w 15"/>
                              <a:gd name="T19" fmla="*/ 2 h 17"/>
                              <a:gd name="T20" fmla="*/ 15 w 15"/>
                              <a:gd name="T21" fmla="*/ 2 h 17"/>
                              <a:gd name="T22" fmla="*/ 9 w 15"/>
                              <a:gd name="T23" fmla="*/ 0 h 17"/>
                              <a:gd name="T24" fmla="*/ 0 w 15"/>
                              <a:gd name="T25" fmla="*/ 8 h 17"/>
                              <a:gd name="T26" fmla="*/ 9 w 15"/>
                              <a:gd name="T27" fmla="*/ 1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 h="17">
                                <a:moveTo>
                                  <a:pt x="9" y="17"/>
                                </a:moveTo>
                                <a:cubicBezTo>
                                  <a:pt x="11" y="17"/>
                                  <a:pt x="13" y="16"/>
                                  <a:pt x="15" y="14"/>
                                </a:cubicBezTo>
                                <a:cubicBezTo>
                                  <a:pt x="15" y="14"/>
                                  <a:pt x="15" y="12"/>
                                  <a:pt x="15" y="11"/>
                                </a:cubicBezTo>
                                <a:cubicBezTo>
                                  <a:pt x="14" y="10"/>
                                  <a:pt x="12" y="10"/>
                                  <a:pt x="11" y="11"/>
                                </a:cubicBezTo>
                                <a:cubicBezTo>
                                  <a:pt x="11" y="12"/>
                                  <a:pt x="10" y="13"/>
                                  <a:pt x="9" y="13"/>
                                </a:cubicBezTo>
                                <a:cubicBezTo>
                                  <a:pt x="6" y="13"/>
                                  <a:pt x="5" y="11"/>
                                  <a:pt x="5" y="8"/>
                                </a:cubicBezTo>
                                <a:cubicBezTo>
                                  <a:pt x="5" y="6"/>
                                  <a:pt x="6" y="4"/>
                                  <a:pt x="9" y="4"/>
                                </a:cubicBezTo>
                                <a:cubicBezTo>
                                  <a:pt x="10" y="4"/>
                                  <a:pt x="11" y="5"/>
                                  <a:pt x="11" y="5"/>
                                </a:cubicBezTo>
                                <a:cubicBezTo>
                                  <a:pt x="12" y="6"/>
                                  <a:pt x="14" y="6"/>
                                  <a:pt x="15" y="5"/>
                                </a:cubicBezTo>
                                <a:cubicBezTo>
                                  <a:pt x="15" y="5"/>
                                  <a:pt x="15" y="3"/>
                                  <a:pt x="15" y="2"/>
                                </a:cubicBezTo>
                                <a:cubicBezTo>
                                  <a:pt x="15" y="2"/>
                                  <a:pt x="15" y="2"/>
                                  <a:pt x="15" y="2"/>
                                </a:cubicBezTo>
                                <a:cubicBezTo>
                                  <a:pt x="13" y="1"/>
                                  <a:pt x="11" y="0"/>
                                  <a:pt x="9" y="0"/>
                                </a:cubicBezTo>
                                <a:cubicBezTo>
                                  <a:pt x="4" y="0"/>
                                  <a:pt x="0" y="4"/>
                                  <a:pt x="0" y="8"/>
                                </a:cubicBezTo>
                                <a:cubicBezTo>
                                  <a:pt x="0" y="13"/>
                                  <a:pt x="4" y="17"/>
                                  <a:pt x="9" y="17"/>
                                </a:cubicBezTo>
                                <a:close/>
                              </a:path>
                            </a:pathLst>
                          </a:custGeom>
                          <a:solidFill>
                            <a:srgbClr val="1C3A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B215438" id="Group 74" o:spid="_x0000_s1026" style="position:absolute;margin-left:3.3pt;margin-top:6.8pt;width:38.45pt;height:43.85pt;z-index:251663360;mso-width-relative:margin;mso-height-relative:margin" coordsize="5921,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">
                <v:shape id="Freeform 25" o:spid="_x0000_s1027" style="position:absolute;left:857;top:841;width:4207;height:1079;visibility:visible;mso-wrap-style:square;v-text-anchor:top" coordsize="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j6qMIA&#10;AADbAAAADwAAAGRycy9kb3ducmV2LnhtbESPQWvCQBSE74L/YXmF3symoQ0SXUXEll5rPHh8Zp/Z&#10;YPZtzG5N/PfdguBxmJlvmOV6tK24Ue8bxwrekhQEceV0w7WCQ/k5m4PwAVlj65gU3MnDejWdLLHQ&#10;buAfuu1DLSKEfYEKTAhdIaWvDFn0ieuIo3d2vcUQZV9L3eMQ4baVWZrm0mLDccFgR1tD1WX/axXs&#10;7mVeZvm1Maf38Thgbk/n+ZdSry/jZgEi0Bie4Uf7WyvIPuD/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PqowgAAANsAAAAPAAAAAAAAAAAAAAAAAJgCAABkcnMvZG93&#10;bnJldi54bWxQSwUGAAAAAAQABAD1AAAAhwMAAAAA&#10;" path="m96,25c3,25,3,25,3,25,1,25,,24,,22,,3,,3,,3,,2,1,,3,,96,,96,,96,v1,,2,2,2,3c98,22,98,22,98,22v,2,-1,3,-2,3xe" fillcolor="#d8d8d8 [1950]" stroked="f">
                  <v:path arrowok="t" o:connecttype="custom" o:connectlocs="412103,107950;12878,107950;0,94996;0,12954;12878,0;412103,0;420688,12954;420688,94996;412103,107950" o:connectangles="0,0,0,0,0,0,0,0,0"/>
                </v:shape>
                <v:shape id="Freeform 26" o:spid="_x0000_s1028" style="position:absolute;width:5921;height:6413;visibility:visible;mso-wrap-style:square;v-text-anchor:top" coordsize="1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oRsQA&#10;AADbAAAADwAAAGRycy9kb3ducmV2LnhtbESPQWvCQBSE70L/w/IKvemmEcTGbEQKQlvoocZDj4/s&#10;M4lm34bdbZL6691CweMwM98w+XYynRjI+daygudFAoK4srrlWsGx3M/XIHxA1thZJgW/5GFbPMxy&#10;zLQd+YuGQ6hFhLDPUEETQp9J6auGDPqF7Ymjd7LOYIjS1VI7HCPcdDJNkpU02HJcaLCn14aqy+HH&#10;KFi68hs/Er98T89D66/uZT+ePpV6epx2GxCBpnAP/7fftIJ0BX9f4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EbEAAAA2wAAAA8AAAAAAAAAAAAAAAAAmAIAAGRycy9k&#10;b3ducmV2LnhtbFBLBQYAAAAABAAEAPUAAACJAwAAAAA=&#10;" path="m121,c17,,17,,17,,8,,,7,,16,,134,,134,,134v,9,8,16,17,16c121,150,121,150,121,150v10,,17,-7,17,-16c138,16,138,16,138,16,138,7,131,,121,xm34,132v-8,,-14,-6,-14,-14c20,111,26,104,34,104v7,,13,7,13,14c47,126,41,132,34,132xm34,94c26,94,20,88,20,80v,-7,6,-13,14,-13c41,67,47,73,47,80v,8,-6,14,-13,14xm69,132v-7,,-14,-6,-14,-14c55,111,62,104,69,104v8,,14,7,14,14c83,126,77,132,69,132xm55,80v,-7,7,-13,14,-13c77,67,83,73,83,80v,8,-6,14,-14,14c62,94,55,88,55,80xm104,132v-7,,-13,-6,-13,-14c91,111,97,104,104,104v8,,14,7,14,14c118,126,112,132,104,132xm91,80v,-7,6,-13,13,-13c112,67,118,73,118,80v,8,-6,14,-14,14c97,94,91,88,91,80xm124,42v,5,-4,8,-8,8c23,50,23,50,23,50v-5,,-9,-3,-9,-8c14,23,14,23,14,23v,-4,4,-8,9,-8c116,15,116,15,116,15v4,,8,4,8,8l124,42xe" fillcolor="#932077" stroked="f">
                  <v:path arrowok="t" o:connecttype="custom" o:connectlocs="519193,0;72945,0;0,68411;0,572939;72945,641350;519193,641350;592138,572939;592138,68411;519193,0;145889,564388;85817,504529;145889,444669;201670,504529;145889,564388;145889,401913;85817,342053;145889,286470;201670,342053;145889,401913;296069,564388;235997,504529;296069,444669;356141,504529;296069,564388;235997,342053;296069,286470;356141,342053;296069,401913;235997,342053;446249,564388;390468,504529;446249,444669;506321,504529;446249,564388;390468,342053;446249,286470;506321,342053;446249,401913;390468,342053;532066,179578;497739,213783;98690,213783;60072,179578;60072,98340;98690,64135;497739,64135;532066,98340;532066,179578" o:connectangles="0,0,0,0,0,0,0,0,0,0,0,0,0,0,0,0,0,0,0,0,0,0,0,0,0,0,0,0,0,0,0,0,0,0,0,0,0,0,0,0,0,0,0,0,0,0,0,0"/>
                  <o:lock v:ext="edit" verticies="t"/>
                </v:shape>
                <v:shape id="Freeform 27" o:spid="_x0000_s1029" style="position:absolute;left:1031;top:3032;width:810;height:809;visibility:visible;mso-wrap-style:square;v-text-anchor:top" coordsize="1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S/Nb4A&#10;AADbAAAADwAAAGRycy9kb3ducmV2LnhtbESPzQrCMBCE74LvEFbwpqkFf6hGEaXgQRCtD7A0a1ts&#10;NqWJWt/eCILHYWa+YVabztTiSa2rLCuYjCMQxLnVFRcKrlk6WoBwHlljbZkUvMnBZt3vrTDR9sVn&#10;el58IQKEXYIKSu+bREqXl2TQjW1DHLybbQ36INtC6hZfAW5qGUfRTBqsOCyU2NCupPx+eRgF0Z4N&#10;FbdZFqfpNDst8MhG50oNB912CcJT5//hX/ugFcRz+H4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UkvzW+AAAA2wAAAA8AAAAAAAAAAAAAAAAAmAIAAGRycy9kb3ducmV2&#10;LnhtbFBLBQYAAAAABAAEAPUAAACDAwAAAAA=&#10;" path="m17,7v-5,,-5,,-5,c12,2,12,2,12,2,12,1,11,,10,,8,,7,1,7,2v,5,,5,,5c2,7,2,7,2,7,1,7,,8,,9v,2,1,3,2,3c7,12,7,12,7,12v,5,,5,,5c7,18,8,19,10,19v1,,2,-1,2,-2c12,12,12,12,12,12v5,,5,,5,c18,12,19,11,19,9,19,8,18,7,17,7xe" fillcolor="#1c3a54" stroked="f">
                  <v:path arrowok="t" o:connecttype="custom" o:connectlocs="72441,29828;51135,29828;51135,8522;42612,0;29828,8522;29828,29828;8522,29828;0,38351;8522,51135;29828,51135;29828,72441;42612,80963;51135,72441;51135,51135;72441,51135;80963,38351;72441,29828" o:connectangles="0,0,0,0,0,0,0,0,0,0,0,0,0,0,0,0,0"/>
                </v:shape>
                <v:shape id="Freeform 28" o:spid="_x0000_s1030" style="position:absolute;left:2540;top:3333;width:841;height:207;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7sAA&#10;AADbAAAADwAAAGRycy9kb3ducmV2LnhtbERPzYrCMBC+C75DGMGbpoqUUo1SFEHKelh3H2BoxrbY&#10;TGoSa/ftN4eFPX58/7vDaDoxkPOtZQWrZQKCuLK65VrB99d5kYHwAVljZ5kU/JCHw3462WGu7Zs/&#10;abiFWsQQ9jkqaELocyl91ZBBv7Q9ceTu1hkMEbpaaofvGG46uU6SVBpsOTY02NOxoepxexkFRZld&#10;s0tafjxP2XVw3KXF5lEqNZ+NxRZEoDH8i//cF61gHcfGL/E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F7sAAAADbAAAADwAAAAAAAAAAAAAAAACYAgAAZHJzL2Rvd25y&#10;ZXYueG1sUEsFBgAAAAAEAAQA9QAAAIUDAAAAAA==&#10;" path="m3,5v14,,14,,14,c19,5,20,4,20,2,20,1,19,,17,,3,,3,,3,,1,,,1,,2,,4,1,5,3,5xe" fillcolor="#1c3a54" stroked="f">
                  <v:path arrowok="t" o:connecttype="custom" o:connectlocs="12621,20638;71517,20638;84138,8255;71517,0;12621,0;0,8255;12621,20638" o:connectangles="0,0,0,0,0,0,0"/>
                </v:shape>
                <v:shape id="Freeform 29" o:spid="_x0000_s1031" style="position:absolute;left:1127;top:4699;width:682;height:682;visibility:visible;mso-wrap-style:square;v-text-anchor:top" coordsize="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9I8UA&#10;AADbAAAADwAAAGRycy9kb3ducmV2LnhtbESPzW7CMBCE70h9B2sr9YKKA4eWphjETymotwYQ11W8&#10;TQLxOrJNSN++RqrEcTQz32gms87UoiXnK8sKhoMEBHFudcWFgv1u/TwG4QOyxtoyKfglD7PpQ2+C&#10;qbZX/qY2C4WIEPYpKihDaFIpfV6SQT+wDXH0fqwzGKJ0hdQOrxFuajlKkhdpsOK4UGJDy5Lyc3Yx&#10;Ctqvj/7rvnH15nhYucXnAU+nMSr19NjN30EE6sI9/N/eagWjN7h9i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7L0jxQAAANsAAAAPAAAAAAAAAAAAAAAAAJgCAABkcnMv&#10;ZG93bnJldi54bWxQSwUGAAAAAAQABAD1AAAAigMAAAAA&#10;" path="m15,1c14,,12,,11,1,8,5,8,5,8,5,4,1,4,1,4,1,3,,2,,1,1,,2,,4,1,4,4,8,4,8,4,8,1,12,1,12,1,12,,13,,14,1,15v,,1,1,2,1c3,16,4,15,4,15,8,11,8,11,8,11v3,4,3,4,3,4c12,15,12,16,13,16v1,,1,-1,2,-1c16,14,16,13,15,12,11,8,11,8,11,8,15,4,15,4,15,4v1,,1,-2,,-3xe" fillcolor="#1c3a54" stroked="f">
                  <v:path arrowok="t" o:connecttype="custom" o:connectlocs="63997,4266;46931,4266;34132,21332;17066,4266;4266,4266;4266,17066;17066,34132;4266,51197;4266,63997;12799,68263;17066,63997;34132,46931;46931,63997;55464,68263;63997,63997;63997,51197;46931,34132;63997,17066;63997,4266" o:connectangles="0,0,0,0,0,0,0,0,0,0,0,0,0,0,0,0,0,0,0"/>
                </v:shape>
                <v:shape id="Freeform 30" o:spid="_x0000_s1032" style="position:absolute;left:2540;top:4619;width:841;height:857;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BkIsIA&#10;AADbAAAADwAAAGRycy9kb3ducmV2LnhtbERPu2rDMBTdA/0HcQvdErkOhOJGNm0hJGTKo0O7Xawb&#10;y9S6ciUldvP10RDoeDjvZTXaTlzIh9axgudZBoK4drrlRsHncTV9AREissbOMSn4owBV+TBZYqHd&#10;wHu6HGIjUgiHAhWYGPtCylAbshhmridO3Ml5izFB30jtcUjhtpN5li2kxZZTg8GePgzVP4ezVbBb&#10;n0yd5d3v1/d7vu3nw3GL/qrU0+P49goi0hj/xXf3RiuYp/XpS/oBsr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GQiwgAAANsAAAAPAAAAAAAAAAAAAAAAAJgCAABkcnMvZG93&#10;bnJldi54bWxQSwUGAAAAAAQABAD1AAAAhwMAAAAA&#10;" path="m20,10v,1,-1,2,-3,2c3,12,3,12,3,12,1,12,,11,,10,,9,1,8,3,8v14,,14,,14,c19,8,20,9,20,10xm10,14v-1,,-3,1,-3,3c7,19,9,20,10,20v2,,3,-1,3,-3c13,15,12,14,10,14xm10,6v2,,3,-1,3,-3c13,2,12,,10,,9,,7,2,7,3v,2,2,3,3,3xe" fillcolor="#1c3a54" stroked="f">
                  <v:path arrowok="t" o:connecttype="custom" o:connectlocs="84138,42863;71517,51435;12621,51435;0,42863;12621,34290;71517,34290;84138,42863;42069,60008;29448,72866;42069,85725;54690,72866;42069,60008;42069,25718;54690,12859;42069,0;29448,12859;42069,25718" o:connectangles="0,0,0,0,0,0,0,0,0,0,0,0,0,0,0,0,0"/>
                  <o:lock v:ext="edit" verticies="t"/>
                </v:shape>
                <v:shape id="Freeform 31" o:spid="_x0000_s1033" style="position:absolute;left:4159;top:4794;width:635;height:508;visibility:visible;mso-wrap-style:square;v-text-anchor:top" coordsize="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tdsUA&#10;AADbAAAADwAAAGRycy9kb3ducmV2LnhtbESPQWvCQBSE70L/w/IKXkQ3thJq6iqlVSgehCaC10f2&#10;NUmbfRt2V5P++64geBxm5htmtRlMKy7kfGNZwXyWgCAurW64UnAsdtMXED4ga2wtk4I/8rBZP4xW&#10;mGnb8xdd8lCJCGGfoYI6hC6T0pc1GfQz2xFH79s6gyFKV0ntsI9w08qnJEmlwYbjQo0dvddU/uZn&#10;oyBZDqfU7ffl9kCFyTn9WfSTD6XGj8PbK4hAQ7iHb+1PreB5Dtcv8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MS12xQAAANsAAAAPAAAAAAAAAAAAAAAAAJgCAABkcnMv&#10;ZG93bnJldi54bWxQSwUGAAAAAAQABAD1AAAAigMAAAAA&#10;" path="m15,10v,1,-1,2,-2,2c1,12,1,12,1,12,,12,,11,,10,,9,,8,1,8v12,,12,,12,c14,8,15,9,15,10xm13,c1,,1,,1,,,,,1,,3,,4,,5,1,5v12,,12,,12,c14,5,15,4,15,3,15,1,14,,13,xe" fillcolor="#1c3a54" stroked="f">
                  <v:path arrowok="t" o:connecttype="custom" o:connectlocs="63500,42333;55033,50800;4233,50800;0,42333;4233,33867;55033,33867;63500,42333;55033,0;4233,0;0,12700;4233,21167;55033,21167;63500,12700;55033,0" o:connectangles="0,0,0,0,0,0,0,0,0,0,0,0,0,0"/>
                  <o:lock v:ext="edit" verticies="t"/>
                </v:shape>
                <v:shape id="Freeform 32" o:spid="_x0000_s1034" style="position:absolute;left:4111;top:3079;width:651;height:731;visibility:visible;mso-wrap-style:square;v-text-anchor:top" coordsize="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Bc8QA&#10;AADbAAAADwAAAGRycy9kb3ducmV2LnhtbESPQWvCQBSE7wX/w/IEb3VjhFaiq2hLoYceaiKeH7vP&#10;bDD7Ns1uNP333UKhx2FmvmE2u9G14kZ9aDwrWMwzEMTam4ZrBafq7XEFIkRkg61nUvBNAXbbycMG&#10;C+PvfKRbGWuRIBwKVGBj7Aopg7bkMMx9R5y8i+8dxiT7Wpoe7wnuWpln2ZN02HBasNjRiyV9LQen&#10;4FO3+/h1/LD54E/n58HYqn49KDWbjvs1iEhj/A//td+NgmUOv1/S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DQXPEAAAA2wAAAA8AAAAAAAAAAAAAAAAAmAIAAGRycy9k&#10;b3ducmV2LnhtbFBLBQYAAAAABAAEAPUAAACJAwAAAAA=&#10;" path="m9,17v2,,4,-1,6,-3c15,14,15,12,15,11v-1,-1,-3,-1,-4,c11,12,10,13,9,13,6,13,5,11,5,8,5,6,6,4,9,4v1,,2,1,2,1c12,6,14,6,15,5v,,,-2,,-3c15,2,15,2,15,2,13,1,11,,9,,4,,,4,,8v,5,4,9,9,9xe" fillcolor="#1c3a54" stroked="f">
                  <v:path arrowok="t" o:connecttype="custom" o:connectlocs="39053,73025;65088,60138;65088,47251;47731,47251;39053,55843;21696,34365;39053,17182;47731,21478;65088,21478;65088,8591;65088,8591;39053,0;0,34365;39053,73025" o:connectangles="0,0,0,0,0,0,0,0,0,0,0,0,0,0"/>
                </v:shape>
                <w10:wrap type="square"/>
              </v:group>
            </w:pict>
          </mc:Fallback>
        </mc:AlternateContent>
      </w:r>
      <w:r w:rsidR="00143AC3" w:rsidRPr="00143AC3">
        <w:rPr>
          <w:lang w:val="en-GB"/>
        </w:rPr>
        <w:t>Actuarial assumptions</w:t>
      </w:r>
    </w:p>
    <w:p w14:paraId="54027E1F" w14:textId="7680D6D1" w:rsidR="00143AC3" w:rsidRDefault="004E72B8" w:rsidP="00143AC3">
      <w:pPr>
        <w:pStyle w:val="DocumentText"/>
        <w:rPr>
          <w:lang w:val="en-GB"/>
        </w:rPr>
      </w:pPr>
      <w:r>
        <w:rPr>
          <w:lang w:val="en-GB"/>
        </w:rPr>
        <w:t>The actuarial assumption</w:t>
      </w:r>
      <w:r w:rsidR="00C02137">
        <w:rPr>
          <w:lang w:val="en-GB"/>
        </w:rPr>
        <w:t>s</w:t>
      </w:r>
      <w:r>
        <w:rPr>
          <w:lang w:val="en-GB"/>
        </w:rPr>
        <w:t xml:space="preserve"> used for assessing the funding position of the </w:t>
      </w:r>
      <w:r w:rsidR="00177D13">
        <w:rPr>
          <w:rFonts w:cs="Arial"/>
        </w:rPr>
        <w:t>Fund</w:t>
      </w:r>
      <w:r w:rsidR="00EE5B55">
        <w:rPr>
          <w:lang w:val="en-GB"/>
        </w:rPr>
        <w:t xml:space="preserve"> and the individual employers</w:t>
      </w:r>
      <w:r>
        <w:rPr>
          <w:lang w:val="en-GB"/>
        </w:rPr>
        <w:t xml:space="preserve">, </w:t>
      </w:r>
      <w:r w:rsidR="00004830">
        <w:rPr>
          <w:lang w:val="en-GB"/>
        </w:rPr>
        <w:t xml:space="preserve">the </w:t>
      </w:r>
      <w:r w:rsidR="00EE5B55">
        <w:rPr>
          <w:lang w:val="en-GB"/>
        </w:rPr>
        <w:t>“</w:t>
      </w:r>
      <w:r w:rsidR="00004830">
        <w:rPr>
          <w:lang w:val="en-GB"/>
        </w:rPr>
        <w:t>Primary</w:t>
      </w:r>
      <w:r w:rsidR="00EE5B55">
        <w:rPr>
          <w:lang w:val="en-GB"/>
        </w:rPr>
        <w:t>”</w:t>
      </w:r>
      <w:r w:rsidR="00004830">
        <w:rPr>
          <w:lang w:val="en-GB"/>
        </w:rPr>
        <w:t xml:space="preserve"> </w:t>
      </w:r>
      <w:r w:rsidR="00EE5B55">
        <w:rPr>
          <w:lang w:val="en-GB"/>
        </w:rPr>
        <w:t>contribut</w:t>
      </w:r>
      <w:r w:rsidR="00004830">
        <w:rPr>
          <w:lang w:val="en-GB"/>
        </w:rPr>
        <w:t>ion rate, and any contribution variations due to underlying surplus</w:t>
      </w:r>
      <w:r w:rsidR="001362F6">
        <w:rPr>
          <w:lang w:val="en-GB"/>
        </w:rPr>
        <w:t xml:space="preserve">es or deficits </w:t>
      </w:r>
      <w:r w:rsidR="00AA359E">
        <w:rPr>
          <w:lang w:val="en-GB"/>
        </w:rPr>
        <w:t xml:space="preserve">(i.e. the “Secondary” rate) </w:t>
      </w:r>
      <w:r w:rsidR="001362F6">
        <w:rPr>
          <w:lang w:val="en-GB"/>
        </w:rPr>
        <w:t>are set out in</w:t>
      </w:r>
      <w:r w:rsidR="00004830">
        <w:rPr>
          <w:lang w:val="en-GB"/>
        </w:rPr>
        <w:t xml:space="preserve"> </w:t>
      </w:r>
      <w:r w:rsidR="00155A45">
        <w:rPr>
          <w:lang w:val="en-GB"/>
        </w:rPr>
        <w:t xml:space="preserve">an </w:t>
      </w:r>
      <w:r w:rsidR="001362F6">
        <w:rPr>
          <w:lang w:val="en-GB"/>
        </w:rPr>
        <w:t>A</w:t>
      </w:r>
      <w:r w:rsidR="0050759C">
        <w:rPr>
          <w:lang w:val="en-GB"/>
        </w:rPr>
        <w:t xml:space="preserve">ppendix </w:t>
      </w:r>
      <w:r w:rsidR="0050759C">
        <w:rPr>
          <w:lang w:val="en-GB"/>
        </w:rPr>
        <w:lastRenderedPageBreak/>
        <w:t>to this FSS.</w:t>
      </w:r>
    </w:p>
    <w:p w14:paraId="41F5A1CD" w14:textId="19970611" w:rsidR="001F2926" w:rsidRDefault="00C02137" w:rsidP="00143AC3">
      <w:pPr>
        <w:pStyle w:val="DocumentText"/>
        <w:rPr>
          <w:rFonts w:cs="Arial"/>
        </w:rPr>
      </w:pPr>
      <w:r>
        <w:rPr>
          <w:rFonts w:cs="Arial"/>
        </w:rPr>
        <w:t>The discount rate</w:t>
      </w:r>
      <w:r w:rsidR="00825B0A">
        <w:rPr>
          <w:rFonts w:cs="Arial"/>
        </w:rPr>
        <w:t xml:space="preserve"> in excess of CPI inflation (the “real discount rate”)</w:t>
      </w:r>
      <w:r>
        <w:rPr>
          <w:rFonts w:cs="Arial"/>
        </w:rPr>
        <w:t xml:space="preserve"> has been derived based on the expected return on the </w:t>
      </w:r>
      <w:r w:rsidR="00177D13">
        <w:rPr>
          <w:rFonts w:cs="Arial"/>
        </w:rPr>
        <w:t>Fund</w:t>
      </w:r>
      <w:r w:rsidR="00EE5B55">
        <w:rPr>
          <w:rFonts w:cs="Arial"/>
        </w:rPr>
        <w:t>’s</w:t>
      </w:r>
      <w:r>
        <w:rPr>
          <w:rFonts w:cs="Arial"/>
        </w:rPr>
        <w:t xml:space="preserve"> assets based on the long term strategy set out in </w:t>
      </w:r>
      <w:r w:rsidR="00EE5B55">
        <w:rPr>
          <w:rFonts w:cs="Arial"/>
        </w:rPr>
        <w:t>its</w:t>
      </w:r>
      <w:r>
        <w:rPr>
          <w:rFonts w:cs="Arial"/>
        </w:rPr>
        <w:t xml:space="preserve"> Investment Strategy Statement (ISS).  When assessing the appropriate</w:t>
      </w:r>
      <w:r w:rsidR="008F268E">
        <w:rPr>
          <w:rFonts w:cs="Arial"/>
        </w:rPr>
        <w:t xml:space="preserve"> prudent</w:t>
      </w:r>
      <w:r>
        <w:rPr>
          <w:rFonts w:cs="Arial"/>
        </w:rPr>
        <w:t xml:space="preserve"> discount rate, consideration has been given to the </w:t>
      </w:r>
      <w:r w:rsidR="00EE5B55">
        <w:rPr>
          <w:rFonts w:cs="Arial"/>
        </w:rPr>
        <w:t xml:space="preserve">level of </w:t>
      </w:r>
      <w:r>
        <w:rPr>
          <w:rFonts w:cs="Arial"/>
        </w:rPr>
        <w:t xml:space="preserve">expected </w:t>
      </w:r>
      <w:r w:rsidR="008F268E">
        <w:rPr>
          <w:rFonts w:cs="Arial"/>
        </w:rPr>
        <w:t xml:space="preserve">asset </w:t>
      </w:r>
      <w:r>
        <w:rPr>
          <w:rFonts w:cs="Arial"/>
        </w:rPr>
        <w:t xml:space="preserve">returns </w:t>
      </w:r>
      <w:r w:rsidRPr="0046637A">
        <w:rPr>
          <w:rFonts w:cs="Arial"/>
          <w:u w:val="single"/>
        </w:rPr>
        <w:t>in excess</w:t>
      </w:r>
      <w:r>
        <w:rPr>
          <w:rFonts w:cs="Arial"/>
        </w:rPr>
        <w:t xml:space="preserve"> of CPI inflation (</w:t>
      </w:r>
      <w:r w:rsidR="001F2926">
        <w:rPr>
          <w:rFonts w:cs="Arial"/>
        </w:rPr>
        <w:t xml:space="preserve">i.e. </w:t>
      </w:r>
      <w:r>
        <w:rPr>
          <w:rFonts w:cs="Arial"/>
        </w:rPr>
        <w:t xml:space="preserve">the rate </w:t>
      </w:r>
      <w:r w:rsidR="00825B0A">
        <w:rPr>
          <w:rFonts w:cs="Arial"/>
        </w:rPr>
        <w:t>at which the benefits in the LGPS generally increase each year</w:t>
      </w:r>
      <w:r>
        <w:rPr>
          <w:rFonts w:cs="Arial"/>
        </w:rPr>
        <w:t>)</w:t>
      </w:r>
      <w:r w:rsidR="0046637A">
        <w:rPr>
          <w:rFonts w:cs="Arial"/>
        </w:rPr>
        <w:t xml:space="preserve">. It is proposed at this valuation the real </w:t>
      </w:r>
      <w:r w:rsidR="00825B0A">
        <w:rPr>
          <w:rFonts w:cs="Arial"/>
        </w:rPr>
        <w:t>return</w:t>
      </w:r>
      <w:r w:rsidR="0046637A">
        <w:rPr>
          <w:rFonts w:cs="Arial"/>
        </w:rPr>
        <w:t xml:space="preserve"> </w:t>
      </w:r>
      <w:r w:rsidR="008C4EA5">
        <w:rPr>
          <w:rFonts w:cs="Arial"/>
        </w:rPr>
        <w:t xml:space="preserve">over CPI inflation </w:t>
      </w:r>
      <w:r w:rsidR="0046637A">
        <w:rPr>
          <w:rFonts w:cs="Arial"/>
        </w:rPr>
        <w:t xml:space="preserve">for determining the </w:t>
      </w:r>
      <w:r w:rsidR="00825B0A">
        <w:rPr>
          <w:rFonts w:cs="Arial"/>
        </w:rPr>
        <w:t>past service liabilities</w:t>
      </w:r>
      <w:r w:rsidR="0046637A">
        <w:rPr>
          <w:rFonts w:cs="Arial"/>
        </w:rPr>
        <w:t xml:space="preserve"> is </w:t>
      </w:r>
      <w:r w:rsidR="00EC0BFC">
        <w:rPr>
          <w:rFonts w:cs="Arial"/>
        </w:rPr>
        <w:t>2.2</w:t>
      </w:r>
      <w:r w:rsidR="0046637A">
        <w:rPr>
          <w:rFonts w:cs="Arial"/>
        </w:rPr>
        <w:t>% per annum</w:t>
      </w:r>
      <w:r w:rsidR="00825B0A">
        <w:rPr>
          <w:rFonts w:cs="Arial"/>
        </w:rPr>
        <w:t xml:space="preserve"> and </w:t>
      </w:r>
      <w:r w:rsidR="008C4EA5">
        <w:rPr>
          <w:rFonts w:cs="Arial"/>
        </w:rPr>
        <w:t xml:space="preserve">for determining </w:t>
      </w:r>
      <w:r w:rsidR="00825B0A">
        <w:rPr>
          <w:rFonts w:cs="Arial"/>
        </w:rPr>
        <w:t>the future service</w:t>
      </w:r>
      <w:r w:rsidR="008C4EA5">
        <w:rPr>
          <w:rFonts w:cs="Arial"/>
        </w:rPr>
        <w:t xml:space="preserve"> (“</w:t>
      </w:r>
      <w:r w:rsidR="00407B73">
        <w:rPr>
          <w:rFonts w:cs="Arial"/>
        </w:rPr>
        <w:t>Primary</w:t>
      </w:r>
      <w:r w:rsidR="008C4EA5">
        <w:rPr>
          <w:rFonts w:cs="Arial"/>
        </w:rPr>
        <w:t>”)</w:t>
      </w:r>
      <w:r w:rsidR="00825B0A">
        <w:rPr>
          <w:rFonts w:cs="Arial"/>
        </w:rPr>
        <w:t xml:space="preserve"> </w:t>
      </w:r>
      <w:r w:rsidR="008C4EA5">
        <w:rPr>
          <w:rFonts w:cs="Arial"/>
        </w:rPr>
        <w:t xml:space="preserve">contribution </w:t>
      </w:r>
      <w:r w:rsidR="00825B0A">
        <w:rPr>
          <w:rFonts w:cs="Arial"/>
        </w:rPr>
        <w:t>rate</w:t>
      </w:r>
      <w:r w:rsidR="008C4EA5">
        <w:rPr>
          <w:rFonts w:cs="Arial"/>
        </w:rPr>
        <w:t>s</w:t>
      </w:r>
      <w:r w:rsidR="00825B0A">
        <w:rPr>
          <w:rFonts w:cs="Arial"/>
        </w:rPr>
        <w:t xml:space="preserve"> is </w:t>
      </w:r>
      <w:r w:rsidR="00EC0BFC">
        <w:rPr>
          <w:rFonts w:cs="Arial"/>
        </w:rPr>
        <w:t>2.75</w:t>
      </w:r>
      <w:r w:rsidR="00825B0A">
        <w:rPr>
          <w:rFonts w:cs="Arial"/>
        </w:rPr>
        <w:t>% per annum</w:t>
      </w:r>
      <w:r w:rsidR="0046637A">
        <w:rPr>
          <w:rFonts w:cs="Arial"/>
        </w:rPr>
        <w:t xml:space="preserve">. </w:t>
      </w:r>
    </w:p>
    <w:p w14:paraId="542DBEBC" w14:textId="7D9E869F" w:rsidR="00F2278C" w:rsidRPr="002408EB" w:rsidRDefault="00EC0BFC" w:rsidP="00143AC3">
      <w:pPr>
        <w:pStyle w:val="DocumentText"/>
        <w:rPr>
          <w:rFonts w:cs="Arial"/>
          <w:i/>
          <w:color w:val="FF0000"/>
        </w:rPr>
      </w:pPr>
      <w:r>
        <w:rPr>
          <w:rFonts w:cs="Arial"/>
        </w:rPr>
        <w:t>Where warranted by an employer’s circumstances</w:t>
      </w:r>
      <w:r w:rsidRPr="00DF7716">
        <w:rPr>
          <w:rFonts w:cs="Arial"/>
        </w:rPr>
        <w:t xml:space="preserve">, the Administering Authority retains the discretion to apply a discount rate based on a lower risk investment strategy for </w:t>
      </w:r>
      <w:r>
        <w:rPr>
          <w:rFonts w:cs="Arial"/>
        </w:rPr>
        <w:t>that</w:t>
      </w:r>
      <w:r w:rsidRPr="00DF7716">
        <w:rPr>
          <w:rFonts w:cs="Arial"/>
        </w:rPr>
        <w:t xml:space="preserve"> employer to protect the </w:t>
      </w:r>
      <w:r w:rsidRPr="00006146">
        <w:rPr>
          <w:rFonts w:cs="Arial"/>
        </w:rPr>
        <w:t>Fund</w:t>
      </w:r>
      <w:r w:rsidRPr="00DF7716">
        <w:rPr>
          <w:rFonts w:cs="Arial"/>
        </w:rPr>
        <w:t xml:space="preserve"> as a whole.  </w:t>
      </w:r>
      <w:r>
        <w:rPr>
          <w:rFonts w:cs="Arial"/>
        </w:rPr>
        <w:t xml:space="preserve">Such cases will be determined by the </w:t>
      </w:r>
      <w:r w:rsidR="006F78CE">
        <w:rPr>
          <w:rFonts w:cs="Arial"/>
        </w:rPr>
        <w:t>Head of the Fund</w:t>
      </w:r>
      <w:r>
        <w:rPr>
          <w:rFonts w:cs="Arial"/>
        </w:rPr>
        <w:t xml:space="preserve"> and reported to the Committee. </w:t>
      </w:r>
      <w:r w:rsidDel="00EC0BFC">
        <w:rPr>
          <w:rFonts w:cs="Arial"/>
        </w:rPr>
        <w:t xml:space="preserve"> </w:t>
      </w:r>
      <w:r>
        <w:rPr>
          <w:rFonts w:cs="Arial"/>
        </w:rPr>
        <w:t>Employ</w:t>
      </w:r>
      <w:r w:rsidR="00A67EE3">
        <w:rPr>
          <w:rFonts w:cs="Arial"/>
        </w:rPr>
        <w:t xml:space="preserve">ers may also choose to fund using a discount rate in line with the Fund’s termination policy (see below) if they so choose.  </w:t>
      </w:r>
    </w:p>
    <w:p w14:paraId="077DE548" w14:textId="02F195C2" w:rsidR="00C4409B" w:rsidRDefault="00C4409B" w:rsidP="00143AC3">
      <w:pPr>
        <w:pStyle w:val="DocumentText"/>
        <w:rPr>
          <w:rFonts w:cs="Arial"/>
        </w:rPr>
      </w:pPr>
      <w:r>
        <w:rPr>
          <w:rFonts w:cs="Arial"/>
        </w:rPr>
        <w:t xml:space="preserve">The demographic assumptions are based on the </w:t>
      </w:r>
      <w:r w:rsidR="006916F9">
        <w:rPr>
          <w:rFonts w:cs="Arial"/>
        </w:rPr>
        <w:t>Fund</w:t>
      </w:r>
      <w:r>
        <w:rPr>
          <w:rFonts w:cs="Arial"/>
        </w:rPr>
        <w:t xml:space="preserve"> Actuary’s bespoke analysis for the </w:t>
      </w:r>
      <w:r w:rsidR="00177D13">
        <w:rPr>
          <w:rFonts w:cs="Arial"/>
        </w:rPr>
        <w:t>Fund</w:t>
      </w:r>
      <w:r w:rsidR="00286A20">
        <w:rPr>
          <w:rFonts w:cs="Arial"/>
        </w:rPr>
        <w:t>,</w:t>
      </w:r>
      <w:r>
        <w:rPr>
          <w:rFonts w:cs="Arial"/>
        </w:rPr>
        <w:t xml:space="preserve"> </w:t>
      </w:r>
      <w:r w:rsidR="00286A20">
        <w:rPr>
          <w:rFonts w:cs="Arial"/>
        </w:rPr>
        <w:t xml:space="preserve">also </w:t>
      </w:r>
      <w:r>
        <w:rPr>
          <w:rFonts w:cs="Arial"/>
        </w:rPr>
        <w:t>taking into account the experience of the wider LGPS where relevant.</w:t>
      </w:r>
    </w:p>
    <w:p w14:paraId="22A9A2AC" w14:textId="380FDC03" w:rsidR="00153641" w:rsidRDefault="00A923AA" w:rsidP="00153641">
      <w:pPr>
        <w:pStyle w:val="Heading10"/>
        <w:rPr>
          <w:lang w:val="en-GB"/>
        </w:rPr>
      </w:pPr>
      <w:r w:rsidRPr="00153641">
        <w:rPr>
          <w:noProof/>
          <w:lang w:val="en-GB" w:eastAsia="en-GB"/>
        </w:rPr>
        <mc:AlternateContent>
          <mc:Choice Requires="wpg">
            <w:drawing>
              <wp:anchor distT="0" distB="0" distL="114300" distR="114300" simplePos="0" relativeHeight="251668480" behindDoc="0" locked="0" layoutInCell="1" allowOverlap="1" wp14:anchorId="3DBA1594" wp14:editId="0B1734A9">
                <wp:simplePos x="0" y="0"/>
                <wp:positionH relativeFrom="column">
                  <wp:posOffset>11430</wp:posOffset>
                </wp:positionH>
                <wp:positionV relativeFrom="paragraph">
                  <wp:posOffset>174625</wp:posOffset>
                </wp:positionV>
                <wp:extent cx="693420" cy="586740"/>
                <wp:effectExtent l="0" t="0" r="0" b="3810"/>
                <wp:wrapSquare wrapText="bothSides"/>
                <wp:docPr id="56" name="Group 72"/>
                <wp:cNvGraphicFramePr/>
                <a:graphic xmlns:a="http://schemas.openxmlformats.org/drawingml/2006/main">
                  <a:graphicData uri="http://schemas.microsoft.com/office/word/2010/wordprocessingGroup">
                    <wpg:wgp>
                      <wpg:cNvGrpSpPr/>
                      <wpg:grpSpPr>
                        <a:xfrm>
                          <a:off x="0" y="0"/>
                          <a:ext cx="693420" cy="586740"/>
                          <a:chOff x="0" y="0"/>
                          <a:chExt cx="973137" cy="873125"/>
                        </a:xfrm>
                        <a:solidFill>
                          <a:schemeClr val="accent2"/>
                        </a:solidFill>
                      </wpg:grpSpPr>
                      <wps:wsp>
                        <wps:cNvPr id="57" name="Freeform 57"/>
                        <wps:cNvSpPr>
                          <a:spLocks noEditPoints="1"/>
                        </wps:cNvSpPr>
                        <wps:spPr bwMode="auto">
                          <a:xfrm>
                            <a:off x="85725" y="217488"/>
                            <a:ext cx="801687" cy="382588"/>
                          </a:xfrm>
                          <a:custGeom>
                            <a:avLst/>
                            <a:gdLst>
                              <a:gd name="T0" fmla="*/ 505 w 505"/>
                              <a:gd name="T1" fmla="*/ 0 h 241"/>
                              <a:gd name="T2" fmla="*/ 402 w 505"/>
                              <a:gd name="T3" fmla="*/ 85 h 241"/>
                              <a:gd name="T4" fmla="*/ 327 w 505"/>
                              <a:gd name="T5" fmla="*/ 12 h 241"/>
                              <a:gd name="T6" fmla="*/ 276 w 505"/>
                              <a:gd name="T7" fmla="*/ 49 h 241"/>
                              <a:gd name="T8" fmla="*/ 232 w 505"/>
                              <a:gd name="T9" fmla="*/ 2 h 241"/>
                              <a:gd name="T10" fmla="*/ 112 w 505"/>
                              <a:gd name="T11" fmla="*/ 122 h 241"/>
                              <a:gd name="T12" fmla="*/ 59 w 505"/>
                              <a:gd name="T13" fmla="*/ 57 h 241"/>
                              <a:gd name="T14" fmla="*/ 0 w 505"/>
                              <a:gd name="T15" fmla="*/ 105 h 241"/>
                              <a:gd name="T16" fmla="*/ 0 w 505"/>
                              <a:gd name="T17" fmla="*/ 136 h 241"/>
                              <a:gd name="T18" fmla="*/ 56 w 505"/>
                              <a:gd name="T19" fmla="*/ 91 h 241"/>
                              <a:gd name="T20" fmla="*/ 109 w 505"/>
                              <a:gd name="T21" fmla="*/ 158 h 241"/>
                              <a:gd name="T22" fmla="*/ 231 w 505"/>
                              <a:gd name="T23" fmla="*/ 37 h 241"/>
                              <a:gd name="T24" fmla="*/ 273 w 505"/>
                              <a:gd name="T25" fmla="*/ 81 h 241"/>
                              <a:gd name="T26" fmla="*/ 325 w 505"/>
                              <a:gd name="T27" fmla="*/ 43 h 241"/>
                              <a:gd name="T28" fmla="*/ 401 w 505"/>
                              <a:gd name="T29" fmla="*/ 118 h 241"/>
                              <a:gd name="T30" fmla="*/ 505 w 505"/>
                              <a:gd name="T31" fmla="*/ 31 h 241"/>
                              <a:gd name="T32" fmla="*/ 505 w 505"/>
                              <a:gd name="T33" fmla="*/ 0 h 241"/>
                              <a:gd name="T34" fmla="*/ 505 w 505"/>
                              <a:gd name="T35" fmla="*/ 0 h 241"/>
                              <a:gd name="T36" fmla="*/ 0 w 505"/>
                              <a:gd name="T37" fmla="*/ 161 h 241"/>
                              <a:gd name="T38" fmla="*/ 53 w 505"/>
                              <a:gd name="T39" fmla="*/ 118 h 241"/>
                              <a:gd name="T40" fmla="*/ 108 w 505"/>
                              <a:gd name="T41" fmla="*/ 187 h 241"/>
                              <a:gd name="T42" fmla="*/ 230 w 505"/>
                              <a:gd name="T43" fmla="*/ 64 h 241"/>
                              <a:gd name="T44" fmla="*/ 270 w 505"/>
                              <a:gd name="T45" fmla="*/ 106 h 241"/>
                              <a:gd name="T46" fmla="*/ 323 w 505"/>
                              <a:gd name="T47" fmla="*/ 68 h 241"/>
                              <a:gd name="T48" fmla="*/ 400 w 505"/>
                              <a:gd name="T49" fmla="*/ 143 h 241"/>
                              <a:gd name="T50" fmla="*/ 505 w 505"/>
                              <a:gd name="T51" fmla="*/ 55 h 241"/>
                              <a:gd name="T52" fmla="*/ 505 w 505"/>
                              <a:gd name="T53" fmla="*/ 241 h 241"/>
                              <a:gd name="T54" fmla="*/ 0 w 505"/>
                              <a:gd name="T55" fmla="*/ 241 h 241"/>
                              <a:gd name="T56" fmla="*/ 0 w 505"/>
                              <a:gd name="T57" fmla="*/ 161 h 241"/>
                              <a:gd name="T58" fmla="*/ 0 w 505"/>
                              <a:gd name="T59" fmla="*/ 16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05" h="241">
                                <a:moveTo>
                                  <a:pt x="505" y="0"/>
                                </a:moveTo>
                                <a:lnTo>
                                  <a:pt x="402" y="85"/>
                                </a:lnTo>
                                <a:lnTo>
                                  <a:pt x="327" y="12"/>
                                </a:lnTo>
                                <a:lnTo>
                                  <a:pt x="276" y="49"/>
                                </a:lnTo>
                                <a:lnTo>
                                  <a:pt x="232" y="2"/>
                                </a:lnTo>
                                <a:lnTo>
                                  <a:pt x="112" y="122"/>
                                </a:lnTo>
                                <a:lnTo>
                                  <a:pt x="59" y="57"/>
                                </a:lnTo>
                                <a:lnTo>
                                  <a:pt x="0" y="105"/>
                                </a:lnTo>
                                <a:lnTo>
                                  <a:pt x="0" y="136"/>
                                </a:lnTo>
                                <a:lnTo>
                                  <a:pt x="56" y="91"/>
                                </a:lnTo>
                                <a:lnTo>
                                  <a:pt x="109" y="158"/>
                                </a:lnTo>
                                <a:lnTo>
                                  <a:pt x="231" y="37"/>
                                </a:lnTo>
                                <a:lnTo>
                                  <a:pt x="273" y="81"/>
                                </a:lnTo>
                                <a:lnTo>
                                  <a:pt x="325" y="43"/>
                                </a:lnTo>
                                <a:lnTo>
                                  <a:pt x="401" y="118"/>
                                </a:lnTo>
                                <a:lnTo>
                                  <a:pt x="505" y="31"/>
                                </a:lnTo>
                                <a:lnTo>
                                  <a:pt x="505" y="0"/>
                                </a:lnTo>
                                <a:lnTo>
                                  <a:pt x="505" y="0"/>
                                </a:lnTo>
                                <a:close/>
                                <a:moveTo>
                                  <a:pt x="0" y="161"/>
                                </a:moveTo>
                                <a:lnTo>
                                  <a:pt x="53" y="118"/>
                                </a:lnTo>
                                <a:lnTo>
                                  <a:pt x="108" y="187"/>
                                </a:lnTo>
                                <a:lnTo>
                                  <a:pt x="230" y="64"/>
                                </a:lnTo>
                                <a:lnTo>
                                  <a:pt x="270" y="106"/>
                                </a:lnTo>
                                <a:lnTo>
                                  <a:pt x="323" y="68"/>
                                </a:lnTo>
                                <a:lnTo>
                                  <a:pt x="400" y="143"/>
                                </a:lnTo>
                                <a:lnTo>
                                  <a:pt x="505" y="55"/>
                                </a:lnTo>
                                <a:lnTo>
                                  <a:pt x="505" y="241"/>
                                </a:lnTo>
                                <a:lnTo>
                                  <a:pt x="0" y="241"/>
                                </a:lnTo>
                                <a:lnTo>
                                  <a:pt x="0" y="161"/>
                                </a:lnTo>
                                <a:lnTo>
                                  <a:pt x="0" y="16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noEditPoints="1"/>
                        </wps:cNvSpPr>
                        <wps:spPr bwMode="auto">
                          <a:xfrm>
                            <a:off x="0" y="0"/>
                            <a:ext cx="973137" cy="873125"/>
                          </a:xfrm>
                          <a:custGeom>
                            <a:avLst/>
                            <a:gdLst>
                              <a:gd name="T0" fmla="*/ 24 w 1026"/>
                              <a:gd name="T1" fmla="*/ 2 h 922"/>
                              <a:gd name="T2" fmla="*/ 1000 w 1026"/>
                              <a:gd name="T3" fmla="*/ 1 h 922"/>
                              <a:gd name="T4" fmla="*/ 1024 w 1026"/>
                              <a:gd name="T5" fmla="*/ 24 h 922"/>
                              <a:gd name="T6" fmla="*/ 1026 w 1026"/>
                              <a:gd name="T7" fmla="*/ 696 h 922"/>
                              <a:gd name="T8" fmla="*/ 1002 w 1026"/>
                              <a:gd name="T9" fmla="*/ 720 h 922"/>
                              <a:gd name="T10" fmla="*/ 26 w 1026"/>
                              <a:gd name="T11" fmla="*/ 722 h 922"/>
                              <a:gd name="T12" fmla="*/ 2 w 1026"/>
                              <a:gd name="T13" fmla="*/ 698 h 922"/>
                              <a:gd name="T14" fmla="*/ 0 w 1026"/>
                              <a:gd name="T15" fmla="*/ 26 h 922"/>
                              <a:gd name="T16" fmla="*/ 24 w 1026"/>
                              <a:gd name="T17" fmla="*/ 2 h 922"/>
                              <a:gd name="T18" fmla="*/ 354 w 1026"/>
                              <a:gd name="T19" fmla="*/ 922 h 922"/>
                              <a:gd name="T20" fmla="*/ 330 w 1026"/>
                              <a:gd name="T21" fmla="*/ 898 h 922"/>
                              <a:gd name="T22" fmla="*/ 354 w 1026"/>
                              <a:gd name="T23" fmla="*/ 874 h 922"/>
                              <a:gd name="T24" fmla="*/ 450 w 1026"/>
                              <a:gd name="T25" fmla="*/ 873 h 922"/>
                              <a:gd name="T26" fmla="*/ 450 w 1026"/>
                              <a:gd name="T27" fmla="*/ 753 h 922"/>
                              <a:gd name="T28" fmla="*/ 578 w 1026"/>
                              <a:gd name="T29" fmla="*/ 753 h 922"/>
                              <a:gd name="T30" fmla="*/ 578 w 1026"/>
                              <a:gd name="T31" fmla="*/ 873 h 922"/>
                              <a:gd name="T32" fmla="*/ 674 w 1026"/>
                              <a:gd name="T33" fmla="*/ 873 h 922"/>
                              <a:gd name="T34" fmla="*/ 698 w 1026"/>
                              <a:gd name="T35" fmla="*/ 897 h 922"/>
                              <a:gd name="T36" fmla="*/ 674 w 1026"/>
                              <a:gd name="T37" fmla="*/ 921 h 922"/>
                              <a:gd name="T38" fmla="*/ 354 w 1026"/>
                              <a:gd name="T39" fmla="*/ 922 h 922"/>
                              <a:gd name="T40" fmla="*/ 977 w 1026"/>
                              <a:gd name="T41" fmla="*/ 49 h 922"/>
                              <a:gd name="T42" fmla="*/ 49 w 1026"/>
                              <a:gd name="T43" fmla="*/ 50 h 922"/>
                              <a:gd name="T44" fmla="*/ 49 w 1026"/>
                              <a:gd name="T45" fmla="*/ 674 h 922"/>
                              <a:gd name="T46" fmla="*/ 977 w 1026"/>
                              <a:gd name="T47" fmla="*/ 673 h 922"/>
                              <a:gd name="T48" fmla="*/ 977 w 1026"/>
                              <a:gd name="T49" fmla="*/ 49 h 9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26" h="922">
                                <a:moveTo>
                                  <a:pt x="24" y="2"/>
                                </a:moveTo>
                                <a:cubicBezTo>
                                  <a:pt x="1000" y="1"/>
                                  <a:pt x="1000" y="1"/>
                                  <a:pt x="1000" y="1"/>
                                </a:cubicBezTo>
                                <a:cubicBezTo>
                                  <a:pt x="1014" y="0"/>
                                  <a:pt x="1024" y="11"/>
                                  <a:pt x="1024" y="24"/>
                                </a:cubicBezTo>
                                <a:cubicBezTo>
                                  <a:pt x="1026" y="696"/>
                                  <a:pt x="1026" y="696"/>
                                  <a:pt x="1026" y="696"/>
                                </a:cubicBezTo>
                                <a:cubicBezTo>
                                  <a:pt x="1026" y="710"/>
                                  <a:pt x="1015" y="720"/>
                                  <a:pt x="1002" y="720"/>
                                </a:cubicBezTo>
                                <a:cubicBezTo>
                                  <a:pt x="26" y="722"/>
                                  <a:pt x="26" y="722"/>
                                  <a:pt x="26" y="722"/>
                                </a:cubicBezTo>
                                <a:cubicBezTo>
                                  <a:pt x="12" y="722"/>
                                  <a:pt x="2" y="711"/>
                                  <a:pt x="2" y="698"/>
                                </a:cubicBezTo>
                                <a:cubicBezTo>
                                  <a:pt x="0" y="26"/>
                                  <a:pt x="0" y="26"/>
                                  <a:pt x="0" y="26"/>
                                </a:cubicBezTo>
                                <a:cubicBezTo>
                                  <a:pt x="0" y="13"/>
                                  <a:pt x="11" y="2"/>
                                  <a:pt x="24" y="2"/>
                                </a:cubicBezTo>
                                <a:close/>
                                <a:moveTo>
                                  <a:pt x="354" y="922"/>
                                </a:moveTo>
                                <a:cubicBezTo>
                                  <a:pt x="341" y="922"/>
                                  <a:pt x="330" y="911"/>
                                  <a:pt x="330" y="898"/>
                                </a:cubicBezTo>
                                <a:cubicBezTo>
                                  <a:pt x="330" y="884"/>
                                  <a:pt x="341" y="874"/>
                                  <a:pt x="354" y="874"/>
                                </a:cubicBezTo>
                                <a:cubicBezTo>
                                  <a:pt x="450" y="873"/>
                                  <a:pt x="450" y="873"/>
                                  <a:pt x="450" y="873"/>
                                </a:cubicBezTo>
                                <a:cubicBezTo>
                                  <a:pt x="450" y="753"/>
                                  <a:pt x="450" y="753"/>
                                  <a:pt x="450" y="753"/>
                                </a:cubicBezTo>
                                <a:cubicBezTo>
                                  <a:pt x="578" y="753"/>
                                  <a:pt x="578" y="753"/>
                                  <a:pt x="578" y="753"/>
                                </a:cubicBezTo>
                                <a:cubicBezTo>
                                  <a:pt x="578" y="873"/>
                                  <a:pt x="578" y="873"/>
                                  <a:pt x="578" y="873"/>
                                </a:cubicBezTo>
                                <a:cubicBezTo>
                                  <a:pt x="674" y="873"/>
                                  <a:pt x="674" y="873"/>
                                  <a:pt x="674" y="873"/>
                                </a:cubicBezTo>
                                <a:cubicBezTo>
                                  <a:pt x="687" y="873"/>
                                  <a:pt x="698" y="884"/>
                                  <a:pt x="698" y="897"/>
                                </a:cubicBezTo>
                                <a:cubicBezTo>
                                  <a:pt x="698" y="910"/>
                                  <a:pt x="687" y="921"/>
                                  <a:pt x="674" y="921"/>
                                </a:cubicBezTo>
                                <a:cubicBezTo>
                                  <a:pt x="354" y="922"/>
                                  <a:pt x="354" y="922"/>
                                  <a:pt x="354" y="922"/>
                                </a:cubicBezTo>
                                <a:close/>
                                <a:moveTo>
                                  <a:pt x="977" y="49"/>
                                </a:moveTo>
                                <a:cubicBezTo>
                                  <a:pt x="49" y="50"/>
                                  <a:pt x="49" y="50"/>
                                  <a:pt x="49" y="50"/>
                                </a:cubicBezTo>
                                <a:cubicBezTo>
                                  <a:pt x="49" y="674"/>
                                  <a:pt x="49" y="674"/>
                                  <a:pt x="49" y="674"/>
                                </a:cubicBezTo>
                                <a:cubicBezTo>
                                  <a:pt x="977" y="673"/>
                                  <a:pt x="977" y="673"/>
                                  <a:pt x="977" y="673"/>
                                </a:cubicBezTo>
                                <a:cubicBezTo>
                                  <a:pt x="977" y="49"/>
                                  <a:pt x="977" y="49"/>
                                  <a:pt x="977" y="49"/>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778E68F" id="Group 72" o:spid="_x0000_s1026" style="position:absolute;margin-left:.9pt;margin-top:13.75pt;width:54.6pt;height:46.2pt;z-index:251668480;mso-width-relative:margin;mso-height-relative:margin" coordsize="9731,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">
                <v:shape id="Freeform 57" o:spid="_x0000_s1027" style="position:absolute;left:857;top:2174;width:8017;height:3826;visibility:visible;mso-wrap-style:square;v-text-anchor:top" coordsize="50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MjlcYA&#10;AADbAAAADwAAAGRycy9kb3ducmV2LnhtbESPW2sCMRSE3wv+h3AKvhTNem3ZGkUsBSl9qBf6fLo5&#10;7i5uTtZN6kZ/fSMUfBxm5htmtgimEmdqXGlZwaCfgCDOrC45V7DfvfdeQDiPrLGyTAou5GAx7zzM&#10;MNW25Q2dtz4XEcIuRQWF93UqpcsKMuj6tiaO3sE2Bn2UTS51g22Em0oOk2QqDZYcFwqsaVVQdtz+&#10;GgXTr4O+fr5xePoej0en4/qjDT8npbqPYfkKwlPw9/B/e60VTJ7h9iX+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MjlcYAAADbAAAADwAAAAAAAAAAAAAAAACYAgAAZHJz&#10;L2Rvd25yZXYueG1sUEsFBgAAAAAEAAQA9QAAAIsDAAAAAA==&#10;" path="m505,l402,85,327,12,276,49,232,2,112,122,59,57,,105r,31l56,91r53,67l231,37r42,44l325,43r76,75l505,31,505,r,xm,161l53,118r55,69l230,64r40,42l323,68r77,75l505,55r,186l,241,,161r,xe" filled="f" stroked="f">
                  <v:path arrowok="t" o:connecttype="custom" o:connectlocs="801687,0;638175,134938;519112,19050;438150,77788;368300,3175;177800,193675;93662,90488;0,166688;0,215900;88900,144463;173037,250825;366712,58738;433387,128588;515937,68263;636587,187325;801687,49213;801687,0;801687,0;0,255588;84137,187325;171450,296863;365125,101600;428625,168275;512762,107950;635000,227013;801687,87313;801687,382588;0,382588;0,255588;0,255588" o:connectangles="0,0,0,0,0,0,0,0,0,0,0,0,0,0,0,0,0,0,0,0,0,0,0,0,0,0,0,0,0,0"/>
                  <o:lock v:ext="edit" verticies="t"/>
                </v:shape>
                <v:shape id="Freeform 58" o:spid="_x0000_s1028" style="position:absolute;width:9731;height:8731;visibility:visible;mso-wrap-style:square;v-text-anchor:top" coordsize="1026,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zKJ7wA&#10;AADbAAAADwAAAGRycy9kb3ducmV2LnhtbERPyQrCMBC9C/5DGMGLaKq4UY0iguDVDTwOzdjFZlKa&#10;qNWvNwfB4+Pty3VjSvGk2uWWFQwHEQjixOqcUwXn064/B+E8ssbSMil4k4P1qt1aYqztiw/0PPpU&#10;hBB2MSrIvK9iKV2SkUE3sBVx4G62NugDrFOpa3yFcFPKURRNpcGcQ0OGFW0zSu7Hh1HwkDSZFa44&#10;f/ajYnuRQ76Oe6xUt9NsFiA8Nf4v/rn3WsEkjA1fwg+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3MonvAAAANsAAAAPAAAAAAAAAAAAAAAAAJgCAABkcnMvZG93bnJldi54&#10;bWxQSwUGAAAAAAQABAD1AAAAgQMAAAAA&#10;" path="m24,2c1000,1,1000,1,1000,1v14,-1,24,10,24,23c1026,696,1026,696,1026,696v,14,-11,24,-24,24c26,722,26,722,26,722,12,722,2,711,2,698,,26,,26,,26,,13,11,2,24,2xm354,922v-13,,-24,-11,-24,-24c330,884,341,874,354,874v96,-1,96,-1,96,-1c450,753,450,753,450,753v128,,128,,128,c578,873,578,873,578,873v96,,96,,96,c687,873,698,884,698,897v,13,-11,24,-24,24c354,922,354,922,354,922xm977,49c49,50,49,50,49,50v,624,,624,,624c977,673,977,673,977,673v,-624,,-624,,-624xe" filled="f" stroked="f">
                  <v:path arrowok="t" o:connecttype="custom" o:connectlocs="22763,1894;948477,947;971240,22728;973137,659105;950374,681833;24660,683727;1897,660999;0,24622;22763,1894;335761,873125;312997,850397;335761,827669;426814,826722;426814,713084;548219,713084;548219,826722;639273,826722;662037,849450;639273,872178;335761,873125;926662,46403;46475,47350;46475,638271;926662,637324;926662,46403" o:connectangles="0,0,0,0,0,0,0,0,0,0,0,0,0,0,0,0,0,0,0,0,0,0,0,0,0"/>
                  <o:lock v:ext="edit" verticies="t"/>
                </v:shape>
                <w10:wrap type="square"/>
              </v:group>
            </w:pict>
          </mc:Fallback>
        </mc:AlternateContent>
      </w:r>
      <w:r w:rsidR="00327950">
        <w:rPr>
          <w:lang w:val="en-GB"/>
        </w:rPr>
        <w:t xml:space="preserve">employer </w:t>
      </w:r>
      <w:r w:rsidR="00153641" w:rsidRPr="00153641">
        <w:rPr>
          <w:lang w:val="en-GB"/>
        </w:rPr>
        <w:t xml:space="preserve">ASSET SHARES </w:t>
      </w:r>
    </w:p>
    <w:p w14:paraId="31912958" w14:textId="69FF233B" w:rsidR="004E58EA" w:rsidRPr="004E58EA" w:rsidRDefault="004E58EA" w:rsidP="004E58EA">
      <w:pPr>
        <w:pStyle w:val="DocumentText"/>
        <w:rPr>
          <w:lang w:val="en-GB"/>
        </w:rPr>
      </w:pPr>
      <w:r w:rsidRPr="004E58EA">
        <w:rPr>
          <w:lang w:val="en-GB"/>
        </w:rPr>
        <w:t xml:space="preserve">The </w:t>
      </w:r>
      <w:r w:rsidR="00177D13">
        <w:rPr>
          <w:rFonts w:cs="Arial"/>
        </w:rPr>
        <w:t>Fund</w:t>
      </w:r>
      <w:r w:rsidRPr="004E58EA">
        <w:rPr>
          <w:lang w:val="en-GB"/>
        </w:rPr>
        <w:t xml:space="preserve"> is a multi-employer pension </w:t>
      </w:r>
      <w:r w:rsidR="00177D13">
        <w:rPr>
          <w:lang w:val="en-GB"/>
        </w:rPr>
        <w:t>Fund</w:t>
      </w:r>
      <w:r w:rsidRPr="004E58EA">
        <w:rPr>
          <w:lang w:val="en-GB"/>
        </w:rPr>
        <w:t xml:space="preserve"> that is not formally unitised and so individual employer asset shares are calculated at each actuarial valuation.  This means it is necessary to make some approximations in the timing of cashflows and allocation of investment returns when deriving </w:t>
      </w:r>
      <w:r w:rsidR="00407B73">
        <w:rPr>
          <w:lang w:val="en-GB"/>
        </w:rPr>
        <w:t>each</w:t>
      </w:r>
      <w:r w:rsidR="00407B73" w:rsidRPr="004E58EA">
        <w:rPr>
          <w:lang w:val="en-GB"/>
        </w:rPr>
        <w:t xml:space="preserve"> </w:t>
      </w:r>
      <w:r w:rsidRPr="004E58EA">
        <w:rPr>
          <w:lang w:val="en-GB"/>
        </w:rPr>
        <w:t>employer</w:t>
      </w:r>
      <w:r w:rsidR="00407B73">
        <w:rPr>
          <w:lang w:val="en-GB"/>
        </w:rPr>
        <w:t>’s</w:t>
      </w:r>
      <w:r w:rsidRPr="004E58EA">
        <w:rPr>
          <w:lang w:val="en-GB"/>
        </w:rPr>
        <w:t xml:space="preserve"> asset share.  </w:t>
      </w:r>
    </w:p>
    <w:p w14:paraId="2928CA28" w14:textId="215881FC" w:rsidR="004416B4" w:rsidRDefault="002331DF" w:rsidP="00A923AA">
      <w:pPr>
        <w:pStyle w:val="DocumentText"/>
        <w:rPr>
          <w:lang w:val="en-GB"/>
        </w:rPr>
      </w:pPr>
      <w:r>
        <w:rPr>
          <w:lang w:val="en-GB"/>
        </w:rPr>
        <w:t xml:space="preserve">At each review, cashflows into and out of the </w:t>
      </w:r>
      <w:r w:rsidR="00177D13">
        <w:rPr>
          <w:rFonts w:cs="Arial"/>
        </w:rPr>
        <w:t>Fund</w:t>
      </w:r>
      <w:r>
        <w:rPr>
          <w:lang w:val="en-GB"/>
        </w:rPr>
        <w:t xml:space="preserve"> relating to each employer, any movement of members between employers within the </w:t>
      </w:r>
      <w:r w:rsidR="00177D13">
        <w:rPr>
          <w:rFonts w:cs="Arial"/>
        </w:rPr>
        <w:t>Fund</w:t>
      </w:r>
      <w:r>
        <w:rPr>
          <w:lang w:val="en-GB"/>
        </w:rPr>
        <w:t xml:space="preserve">, </w:t>
      </w:r>
      <w:r w:rsidR="00D72215">
        <w:rPr>
          <w:lang w:val="en-GB"/>
        </w:rPr>
        <w:t>along with</w:t>
      </w:r>
      <w:r>
        <w:rPr>
          <w:lang w:val="en-GB"/>
        </w:rPr>
        <w:t xml:space="preserve"> investment </w:t>
      </w:r>
      <w:r w:rsidR="00D72215">
        <w:rPr>
          <w:lang w:val="en-GB"/>
        </w:rPr>
        <w:t>return earned on the asset share</w:t>
      </w:r>
      <w:r>
        <w:rPr>
          <w:lang w:val="en-GB"/>
        </w:rPr>
        <w:t xml:space="preserve">, are allowed for when </w:t>
      </w:r>
      <w:r w:rsidR="00D72215">
        <w:rPr>
          <w:lang w:val="en-GB"/>
        </w:rPr>
        <w:t>calculating</w:t>
      </w:r>
      <w:r>
        <w:rPr>
          <w:lang w:val="en-GB"/>
        </w:rPr>
        <w:t xml:space="preserve"> asset shares</w:t>
      </w:r>
      <w:r w:rsidR="00D72215">
        <w:rPr>
          <w:lang w:val="en-GB"/>
        </w:rPr>
        <w:t xml:space="preserve"> at each valuation</w:t>
      </w:r>
      <w:r>
        <w:rPr>
          <w:lang w:val="en-GB"/>
        </w:rPr>
        <w:t xml:space="preserve">.  </w:t>
      </w:r>
    </w:p>
    <w:p w14:paraId="2D1F0D99" w14:textId="403CEB0A" w:rsidR="00A923AA" w:rsidRDefault="002331DF" w:rsidP="00A923AA">
      <w:pPr>
        <w:pStyle w:val="DocumentText"/>
        <w:rPr>
          <w:lang w:val="en-GB"/>
        </w:rPr>
      </w:pPr>
      <w:r>
        <w:rPr>
          <w:lang w:val="en-GB"/>
        </w:rPr>
        <w:t xml:space="preserve">Other adjustments are also made on account of the funding positions of orphan bodies which fall to be met by all other active employers in the </w:t>
      </w:r>
      <w:r w:rsidR="00177D13">
        <w:rPr>
          <w:rFonts w:cs="Arial"/>
        </w:rPr>
        <w:t>Fund</w:t>
      </w:r>
      <w:r w:rsidR="00D72215">
        <w:rPr>
          <w:lang w:val="en-GB"/>
        </w:rPr>
        <w:t>.</w:t>
      </w:r>
    </w:p>
    <w:p w14:paraId="73D4475C" w14:textId="12AE681A" w:rsidR="00BF0B25" w:rsidRPr="00BF0B25" w:rsidRDefault="00BF0B25" w:rsidP="00BF0B25">
      <w:pPr>
        <w:pStyle w:val="Heading10"/>
      </w:pPr>
      <w:r w:rsidRPr="00BF0B25">
        <w:rPr>
          <w:noProof/>
          <w:lang w:val="en-GB" w:eastAsia="en-GB"/>
        </w:rPr>
        <mc:AlternateContent>
          <mc:Choice Requires="wpg">
            <w:drawing>
              <wp:anchor distT="0" distB="0" distL="114300" distR="114300" simplePos="0" relativeHeight="251666432" behindDoc="0" locked="0" layoutInCell="1" allowOverlap="1" wp14:anchorId="1D45A605" wp14:editId="77FD4880">
                <wp:simplePos x="0" y="0"/>
                <wp:positionH relativeFrom="column">
                  <wp:posOffset>11430</wp:posOffset>
                </wp:positionH>
                <wp:positionV relativeFrom="paragraph">
                  <wp:posOffset>49530</wp:posOffset>
                </wp:positionV>
                <wp:extent cx="643890" cy="588010"/>
                <wp:effectExtent l="0" t="0" r="3810" b="2540"/>
                <wp:wrapSquare wrapText="bothSides"/>
                <wp:docPr id="47" name="Group 77"/>
                <wp:cNvGraphicFramePr/>
                <a:graphic xmlns:a="http://schemas.openxmlformats.org/drawingml/2006/main">
                  <a:graphicData uri="http://schemas.microsoft.com/office/word/2010/wordprocessingGroup">
                    <wpg:wgp>
                      <wpg:cNvGrpSpPr/>
                      <wpg:grpSpPr>
                        <a:xfrm>
                          <a:off x="0" y="0"/>
                          <a:ext cx="643890" cy="588010"/>
                          <a:chOff x="0" y="0"/>
                          <a:chExt cx="969962" cy="917576"/>
                        </a:xfrm>
                        <a:solidFill>
                          <a:srgbClr val="663300"/>
                        </a:solidFill>
                      </wpg:grpSpPr>
                      <wps:wsp>
                        <wps:cNvPr id="48" name="Freeform 48"/>
                        <wps:cNvSpPr>
                          <a:spLocks/>
                        </wps:cNvSpPr>
                        <wps:spPr bwMode="auto">
                          <a:xfrm>
                            <a:off x="122237" y="160338"/>
                            <a:ext cx="304800" cy="246063"/>
                          </a:xfrm>
                          <a:custGeom>
                            <a:avLst/>
                            <a:gdLst>
                              <a:gd name="T0" fmla="*/ 0 w 323"/>
                              <a:gd name="T1" fmla="*/ 207 h 260"/>
                              <a:gd name="T2" fmla="*/ 46 w 323"/>
                              <a:gd name="T3" fmla="*/ 260 h 260"/>
                              <a:gd name="T4" fmla="*/ 48 w 323"/>
                              <a:gd name="T5" fmla="*/ 260 h 260"/>
                              <a:gd name="T6" fmla="*/ 48 w 323"/>
                              <a:gd name="T7" fmla="*/ 77 h 260"/>
                              <a:gd name="T8" fmla="*/ 76 w 323"/>
                              <a:gd name="T9" fmla="*/ 48 h 260"/>
                              <a:gd name="T10" fmla="*/ 323 w 323"/>
                              <a:gd name="T11" fmla="*/ 48 h 260"/>
                              <a:gd name="T12" fmla="*/ 294 w 323"/>
                              <a:gd name="T13" fmla="*/ 0 h 260"/>
                              <a:gd name="T14" fmla="*/ 76 w 323"/>
                              <a:gd name="T15" fmla="*/ 0 h 260"/>
                              <a:gd name="T16" fmla="*/ 0 w 323"/>
                              <a:gd name="T17" fmla="*/ 77 h 260"/>
                              <a:gd name="T18" fmla="*/ 0 w 323"/>
                              <a:gd name="T19" fmla="*/ 207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3" h="260">
                                <a:moveTo>
                                  <a:pt x="0" y="207"/>
                                </a:moveTo>
                                <a:cubicBezTo>
                                  <a:pt x="13" y="230"/>
                                  <a:pt x="27" y="240"/>
                                  <a:pt x="46" y="260"/>
                                </a:cubicBezTo>
                                <a:cubicBezTo>
                                  <a:pt x="48" y="260"/>
                                  <a:pt x="48" y="260"/>
                                  <a:pt x="48" y="260"/>
                                </a:cubicBezTo>
                                <a:cubicBezTo>
                                  <a:pt x="48" y="77"/>
                                  <a:pt x="48" y="77"/>
                                  <a:pt x="48" y="77"/>
                                </a:cubicBezTo>
                                <a:cubicBezTo>
                                  <a:pt x="48" y="62"/>
                                  <a:pt x="61" y="48"/>
                                  <a:pt x="76" y="48"/>
                                </a:cubicBezTo>
                                <a:cubicBezTo>
                                  <a:pt x="323" y="48"/>
                                  <a:pt x="323" y="48"/>
                                  <a:pt x="323" y="48"/>
                                </a:cubicBezTo>
                                <a:cubicBezTo>
                                  <a:pt x="316" y="32"/>
                                  <a:pt x="306" y="16"/>
                                  <a:pt x="294" y="0"/>
                                </a:cubicBezTo>
                                <a:cubicBezTo>
                                  <a:pt x="76" y="0"/>
                                  <a:pt x="76" y="0"/>
                                  <a:pt x="76" y="0"/>
                                </a:cubicBezTo>
                                <a:cubicBezTo>
                                  <a:pt x="34" y="0"/>
                                  <a:pt x="0" y="35"/>
                                  <a:pt x="0" y="77"/>
                                </a:cubicBezTo>
                                <a:lnTo>
                                  <a:pt x="0" y="20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9"/>
                        <wps:cNvSpPr>
                          <a:spLocks/>
                        </wps:cNvSpPr>
                        <wps:spPr bwMode="auto">
                          <a:xfrm>
                            <a:off x="557212" y="76200"/>
                            <a:ext cx="412750" cy="254000"/>
                          </a:xfrm>
                          <a:custGeom>
                            <a:avLst/>
                            <a:gdLst>
                              <a:gd name="T0" fmla="*/ 0 w 437"/>
                              <a:gd name="T1" fmla="*/ 88 h 268"/>
                              <a:gd name="T2" fmla="*/ 20 w 437"/>
                              <a:gd name="T3" fmla="*/ 176 h 268"/>
                              <a:gd name="T4" fmla="*/ 325 w 437"/>
                              <a:gd name="T5" fmla="*/ 176 h 268"/>
                              <a:gd name="T6" fmla="*/ 325 w 437"/>
                              <a:gd name="T7" fmla="*/ 240 h 268"/>
                              <a:gd name="T8" fmla="*/ 361 w 437"/>
                              <a:gd name="T9" fmla="*/ 240 h 268"/>
                              <a:gd name="T10" fmla="*/ 437 w 437"/>
                              <a:gd name="T11" fmla="*/ 268 h 268"/>
                              <a:gd name="T12" fmla="*/ 437 w 437"/>
                              <a:gd name="T13" fmla="*/ 76 h 268"/>
                              <a:gd name="T14" fmla="*/ 361 w 437"/>
                              <a:gd name="T15" fmla="*/ 0 h 268"/>
                              <a:gd name="T16" fmla="*/ 141 w 437"/>
                              <a:gd name="T17" fmla="*/ 0 h 268"/>
                              <a:gd name="T18" fmla="*/ 87 w 437"/>
                              <a:gd name="T19" fmla="*/ 41 h 268"/>
                              <a:gd name="T20" fmla="*/ 74 w 437"/>
                              <a:gd name="T21" fmla="*/ 88 h 268"/>
                              <a:gd name="T22" fmla="*/ 0 w 437"/>
                              <a:gd name="T23" fmla="*/ 88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37" h="268">
                                <a:moveTo>
                                  <a:pt x="0" y="88"/>
                                </a:moveTo>
                                <a:cubicBezTo>
                                  <a:pt x="10" y="116"/>
                                  <a:pt x="17" y="144"/>
                                  <a:pt x="20" y="176"/>
                                </a:cubicBezTo>
                                <a:cubicBezTo>
                                  <a:pt x="325" y="176"/>
                                  <a:pt x="325" y="176"/>
                                  <a:pt x="325" y="176"/>
                                </a:cubicBezTo>
                                <a:cubicBezTo>
                                  <a:pt x="325" y="240"/>
                                  <a:pt x="325" y="240"/>
                                  <a:pt x="325" y="240"/>
                                </a:cubicBezTo>
                                <a:cubicBezTo>
                                  <a:pt x="361" y="240"/>
                                  <a:pt x="361" y="240"/>
                                  <a:pt x="361" y="240"/>
                                </a:cubicBezTo>
                                <a:cubicBezTo>
                                  <a:pt x="389" y="240"/>
                                  <a:pt x="417" y="250"/>
                                  <a:pt x="437" y="268"/>
                                </a:cubicBezTo>
                                <a:cubicBezTo>
                                  <a:pt x="437" y="76"/>
                                  <a:pt x="437" y="76"/>
                                  <a:pt x="437" y="76"/>
                                </a:cubicBezTo>
                                <a:cubicBezTo>
                                  <a:pt x="437" y="34"/>
                                  <a:pt x="403" y="0"/>
                                  <a:pt x="361" y="0"/>
                                </a:cubicBezTo>
                                <a:cubicBezTo>
                                  <a:pt x="141" y="0"/>
                                  <a:pt x="141" y="0"/>
                                  <a:pt x="141" y="0"/>
                                </a:cubicBezTo>
                                <a:cubicBezTo>
                                  <a:pt x="115" y="0"/>
                                  <a:pt x="94" y="17"/>
                                  <a:pt x="87" y="41"/>
                                </a:cubicBezTo>
                                <a:cubicBezTo>
                                  <a:pt x="74" y="88"/>
                                  <a:pt x="74" y="88"/>
                                  <a:pt x="74" y="88"/>
                                </a:cubicBezTo>
                                <a:lnTo>
                                  <a:pt x="0" y="8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0"/>
                        <wps:cNvSpPr>
                          <a:spLocks/>
                        </wps:cNvSpPr>
                        <wps:spPr bwMode="auto">
                          <a:xfrm>
                            <a:off x="122237" y="341313"/>
                            <a:ext cx="847725" cy="576263"/>
                          </a:xfrm>
                          <a:custGeom>
                            <a:avLst/>
                            <a:gdLst>
                              <a:gd name="T0" fmla="*/ 820 w 896"/>
                              <a:gd name="T1" fmla="*/ 48 h 608"/>
                              <a:gd name="T2" fmla="*/ 848 w 896"/>
                              <a:gd name="T3" fmla="*/ 76 h 608"/>
                              <a:gd name="T4" fmla="*/ 848 w 896"/>
                              <a:gd name="T5" fmla="*/ 522 h 608"/>
                              <a:gd name="T6" fmla="*/ 811 w 896"/>
                              <a:gd name="T7" fmla="*/ 560 h 608"/>
                              <a:gd name="T8" fmla="*/ 85 w 896"/>
                              <a:gd name="T9" fmla="*/ 560 h 608"/>
                              <a:gd name="T10" fmla="*/ 48 w 896"/>
                              <a:gd name="T11" fmla="*/ 524 h 608"/>
                              <a:gd name="T12" fmla="*/ 48 w 896"/>
                              <a:gd name="T13" fmla="*/ 229 h 608"/>
                              <a:gd name="T14" fmla="*/ 0 w 896"/>
                              <a:gd name="T15" fmla="*/ 208 h 608"/>
                              <a:gd name="T16" fmla="*/ 0 w 896"/>
                              <a:gd name="T17" fmla="*/ 524 h 608"/>
                              <a:gd name="T18" fmla="*/ 85 w 896"/>
                              <a:gd name="T19" fmla="*/ 608 h 608"/>
                              <a:gd name="T20" fmla="*/ 811 w 896"/>
                              <a:gd name="T21" fmla="*/ 608 h 608"/>
                              <a:gd name="T22" fmla="*/ 896 w 896"/>
                              <a:gd name="T23" fmla="*/ 522 h 608"/>
                              <a:gd name="T24" fmla="*/ 896 w 896"/>
                              <a:gd name="T25" fmla="*/ 76 h 608"/>
                              <a:gd name="T26" fmla="*/ 820 w 896"/>
                              <a:gd name="T27" fmla="*/ 0 h 608"/>
                              <a:gd name="T28" fmla="*/ 471 w 896"/>
                              <a:gd name="T29" fmla="*/ 0 h 608"/>
                              <a:gd name="T30" fmla="*/ 455 w 896"/>
                              <a:gd name="T31" fmla="*/ 48 h 608"/>
                              <a:gd name="T32" fmla="*/ 820 w 896"/>
                              <a:gd name="T33" fmla="*/ 48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6" h="608">
                                <a:moveTo>
                                  <a:pt x="820" y="48"/>
                                </a:moveTo>
                                <a:cubicBezTo>
                                  <a:pt x="836" y="48"/>
                                  <a:pt x="848" y="61"/>
                                  <a:pt x="848" y="76"/>
                                </a:cubicBezTo>
                                <a:cubicBezTo>
                                  <a:pt x="848" y="522"/>
                                  <a:pt x="848" y="522"/>
                                  <a:pt x="848" y="522"/>
                                </a:cubicBezTo>
                                <a:cubicBezTo>
                                  <a:pt x="848" y="542"/>
                                  <a:pt x="831" y="560"/>
                                  <a:pt x="811" y="560"/>
                                </a:cubicBezTo>
                                <a:cubicBezTo>
                                  <a:pt x="85" y="560"/>
                                  <a:pt x="85" y="560"/>
                                  <a:pt x="85" y="560"/>
                                </a:cubicBezTo>
                                <a:cubicBezTo>
                                  <a:pt x="65" y="560"/>
                                  <a:pt x="48" y="544"/>
                                  <a:pt x="48" y="524"/>
                                </a:cubicBezTo>
                                <a:cubicBezTo>
                                  <a:pt x="48" y="229"/>
                                  <a:pt x="48" y="229"/>
                                  <a:pt x="48" y="229"/>
                                </a:cubicBezTo>
                                <a:cubicBezTo>
                                  <a:pt x="32" y="224"/>
                                  <a:pt x="16" y="217"/>
                                  <a:pt x="0" y="208"/>
                                </a:cubicBezTo>
                                <a:cubicBezTo>
                                  <a:pt x="0" y="524"/>
                                  <a:pt x="0" y="524"/>
                                  <a:pt x="0" y="524"/>
                                </a:cubicBezTo>
                                <a:cubicBezTo>
                                  <a:pt x="0" y="571"/>
                                  <a:pt x="39" y="608"/>
                                  <a:pt x="85" y="608"/>
                                </a:cubicBezTo>
                                <a:cubicBezTo>
                                  <a:pt x="811" y="608"/>
                                  <a:pt x="811" y="608"/>
                                  <a:pt x="811" y="608"/>
                                </a:cubicBezTo>
                                <a:cubicBezTo>
                                  <a:pt x="858" y="608"/>
                                  <a:pt x="896" y="568"/>
                                  <a:pt x="896" y="522"/>
                                </a:cubicBezTo>
                                <a:cubicBezTo>
                                  <a:pt x="896" y="76"/>
                                  <a:pt x="896" y="76"/>
                                  <a:pt x="896" y="76"/>
                                </a:cubicBezTo>
                                <a:cubicBezTo>
                                  <a:pt x="896" y="34"/>
                                  <a:pt x="862" y="0"/>
                                  <a:pt x="820" y="0"/>
                                </a:cubicBezTo>
                                <a:cubicBezTo>
                                  <a:pt x="471" y="0"/>
                                  <a:pt x="471" y="0"/>
                                  <a:pt x="471" y="0"/>
                                </a:cubicBezTo>
                                <a:cubicBezTo>
                                  <a:pt x="467" y="17"/>
                                  <a:pt x="462" y="33"/>
                                  <a:pt x="455" y="48"/>
                                </a:cubicBezTo>
                                <a:lnTo>
                                  <a:pt x="820" y="4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0" y="0"/>
                            <a:ext cx="538162" cy="538163"/>
                          </a:xfrm>
                          <a:custGeom>
                            <a:avLst/>
                            <a:gdLst>
                              <a:gd name="T0" fmla="*/ 0 w 568"/>
                              <a:gd name="T1" fmla="*/ 284 h 568"/>
                              <a:gd name="T2" fmla="*/ 284 w 568"/>
                              <a:gd name="T3" fmla="*/ 568 h 568"/>
                              <a:gd name="T4" fmla="*/ 454 w 568"/>
                              <a:gd name="T5" fmla="*/ 511 h 568"/>
                              <a:gd name="T6" fmla="*/ 484 w 568"/>
                              <a:gd name="T7" fmla="*/ 540 h 568"/>
                              <a:gd name="T8" fmla="*/ 540 w 568"/>
                              <a:gd name="T9" fmla="*/ 484 h 568"/>
                              <a:gd name="T10" fmla="*/ 511 w 568"/>
                              <a:gd name="T11" fmla="*/ 455 h 568"/>
                              <a:gd name="T12" fmla="*/ 568 w 568"/>
                              <a:gd name="T13" fmla="*/ 284 h 568"/>
                              <a:gd name="T14" fmla="*/ 284 w 568"/>
                              <a:gd name="T15" fmla="*/ 0 h 568"/>
                              <a:gd name="T16" fmla="*/ 0 w 568"/>
                              <a:gd name="T17" fmla="*/ 284 h 568"/>
                              <a:gd name="T18" fmla="*/ 284 w 568"/>
                              <a:gd name="T19" fmla="*/ 64 h 568"/>
                              <a:gd name="T20" fmla="*/ 504 w 568"/>
                              <a:gd name="T21" fmla="*/ 284 h 568"/>
                              <a:gd name="T22" fmla="*/ 284 w 568"/>
                              <a:gd name="T23" fmla="*/ 504 h 568"/>
                              <a:gd name="T24" fmla="*/ 64 w 568"/>
                              <a:gd name="T25" fmla="*/ 284 h 568"/>
                              <a:gd name="T26" fmla="*/ 284 w 568"/>
                              <a:gd name="T27" fmla="*/ 64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68" h="568">
                                <a:moveTo>
                                  <a:pt x="0" y="284"/>
                                </a:moveTo>
                                <a:cubicBezTo>
                                  <a:pt x="0" y="441"/>
                                  <a:pt x="127" y="568"/>
                                  <a:pt x="284" y="568"/>
                                </a:cubicBezTo>
                                <a:cubicBezTo>
                                  <a:pt x="344" y="568"/>
                                  <a:pt x="404" y="549"/>
                                  <a:pt x="454" y="511"/>
                                </a:cubicBezTo>
                                <a:cubicBezTo>
                                  <a:pt x="484" y="540"/>
                                  <a:pt x="484" y="540"/>
                                  <a:pt x="484" y="540"/>
                                </a:cubicBezTo>
                                <a:cubicBezTo>
                                  <a:pt x="540" y="484"/>
                                  <a:pt x="540" y="484"/>
                                  <a:pt x="540" y="484"/>
                                </a:cubicBezTo>
                                <a:cubicBezTo>
                                  <a:pt x="511" y="455"/>
                                  <a:pt x="511" y="455"/>
                                  <a:pt x="511" y="455"/>
                                </a:cubicBezTo>
                                <a:cubicBezTo>
                                  <a:pt x="549" y="404"/>
                                  <a:pt x="568" y="344"/>
                                  <a:pt x="568" y="284"/>
                                </a:cubicBezTo>
                                <a:cubicBezTo>
                                  <a:pt x="568" y="127"/>
                                  <a:pt x="441" y="0"/>
                                  <a:pt x="284" y="0"/>
                                </a:cubicBezTo>
                                <a:cubicBezTo>
                                  <a:pt x="127" y="0"/>
                                  <a:pt x="0" y="127"/>
                                  <a:pt x="0" y="284"/>
                                </a:cubicBezTo>
                                <a:close/>
                                <a:moveTo>
                                  <a:pt x="284" y="64"/>
                                </a:moveTo>
                                <a:cubicBezTo>
                                  <a:pt x="405" y="64"/>
                                  <a:pt x="504" y="162"/>
                                  <a:pt x="504" y="284"/>
                                </a:cubicBezTo>
                                <a:cubicBezTo>
                                  <a:pt x="504" y="405"/>
                                  <a:pt x="405" y="504"/>
                                  <a:pt x="284" y="504"/>
                                </a:cubicBezTo>
                                <a:cubicBezTo>
                                  <a:pt x="162" y="504"/>
                                  <a:pt x="64" y="405"/>
                                  <a:pt x="64" y="284"/>
                                </a:cubicBezTo>
                                <a:cubicBezTo>
                                  <a:pt x="64" y="162"/>
                                  <a:pt x="162" y="64"/>
                                  <a:pt x="284" y="64"/>
                                </a:cubicBezTo>
                                <a:close/>
                              </a:path>
                            </a:pathLst>
                          </a:custGeom>
                          <a:grpFill/>
                          <a:ln w="9525">
                            <a:noFill/>
                            <a:round/>
                            <a:headEnd/>
                            <a:tailEnd/>
                          </a:ln>
                          <a:extLst/>
                        </wps:spPr>
                        <wps:bodyPr vert="horz" wrap="square" lIns="91440" tIns="45720" rIns="91440" bIns="45720" numCol="1" anchor="t" anchorCtr="0" compatLnSpc="1">
                          <a:prstTxWarp prst="textNoShape">
                            <a:avLst/>
                          </a:prstTxWarp>
                        </wps:bodyPr>
                      </wps:wsp>
                      <wps:wsp>
                        <wps:cNvPr id="52" name="Freeform 52"/>
                        <wps:cNvSpPr>
                          <a:spLocks/>
                        </wps:cNvSpPr>
                        <wps:spPr bwMode="auto">
                          <a:xfrm>
                            <a:off x="488950" y="488950"/>
                            <a:ext cx="190500" cy="188913"/>
                          </a:xfrm>
                          <a:custGeom>
                            <a:avLst/>
                            <a:gdLst>
                              <a:gd name="T0" fmla="*/ 0 w 200"/>
                              <a:gd name="T1" fmla="*/ 56 h 200"/>
                              <a:gd name="T2" fmla="*/ 128 w 200"/>
                              <a:gd name="T3" fmla="*/ 184 h 200"/>
                              <a:gd name="T4" fmla="*/ 184 w 200"/>
                              <a:gd name="T5" fmla="*/ 184 h 200"/>
                              <a:gd name="T6" fmla="*/ 184 w 200"/>
                              <a:gd name="T7" fmla="*/ 128 h 200"/>
                              <a:gd name="T8" fmla="*/ 56 w 200"/>
                              <a:gd name="T9" fmla="*/ 0 h 200"/>
                              <a:gd name="T10" fmla="*/ 0 w 200"/>
                              <a:gd name="T11" fmla="*/ 56 h 200"/>
                            </a:gdLst>
                            <a:ahLst/>
                            <a:cxnLst>
                              <a:cxn ang="0">
                                <a:pos x="T0" y="T1"/>
                              </a:cxn>
                              <a:cxn ang="0">
                                <a:pos x="T2" y="T3"/>
                              </a:cxn>
                              <a:cxn ang="0">
                                <a:pos x="T4" y="T5"/>
                              </a:cxn>
                              <a:cxn ang="0">
                                <a:pos x="T6" y="T7"/>
                              </a:cxn>
                              <a:cxn ang="0">
                                <a:pos x="T8" y="T9"/>
                              </a:cxn>
                              <a:cxn ang="0">
                                <a:pos x="T10" y="T11"/>
                              </a:cxn>
                            </a:cxnLst>
                            <a:rect l="0" t="0" r="r" b="b"/>
                            <a:pathLst>
                              <a:path w="200" h="200">
                                <a:moveTo>
                                  <a:pt x="0" y="56"/>
                                </a:moveTo>
                                <a:cubicBezTo>
                                  <a:pt x="128" y="184"/>
                                  <a:pt x="128" y="184"/>
                                  <a:pt x="128" y="184"/>
                                </a:cubicBezTo>
                                <a:cubicBezTo>
                                  <a:pt x="143" y="200"/>
                                  <a:pt x="169" y="200"/>
                                  <a:pt x="184" y="184"/>
                                </a:cubicBezTo>
                                <a:cubicBezTo>
                                  <a:pt x="200" y="169"/>
                                  <a:pt x="200" y="143"/>
                                  <a:pt x="184" y="128"/>
                                </a:cubicBezTo>
                                <a:cubicBezTo>
                                  <a:pt x="56" y="0"/>
                                  <a:pt x="56" y="0"/>
                                  <a:pt x="56" y="0"/>
                                </a:cubicBezTo>
                                <a:lnTo>
                                  <a:pt x="0" y="5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204787" y="363538"/>
                            <a:ext cx="206375" cy="23813"/>
                          </a:xfrm>
                          <a:custGeom>
                            <a:avLst/>
                            <a:gdLst>
                              <a:gd name="T0" fmla="*/ 0 w 218"/>
                              <a:gd name="T1" fmla="*/ 24 h 24"/>
                              <a:gd name="T2" fmla="*/ 198 w 218"/>
                              <a:gd name="T3" fmla="*/ 24 h 24"/>
                              <a:gd name="T4" fmla="*/ 218 w 218"/>
                              <a:gd name="T5" fmla="*/ 0 h 24"/>
                              <a:gd name="T6" fmla="*/ 0 w 218"/>
                              <a:gd name="T7" fmla="*/ 0 h 24"/>
                              <a:gd name="T8" fmla="*/ 0 w 218"/>
                              <a:gd name="T9" fmla="*/ 24 h 24"/>
                            </a:gdLst>
                            <a:ahLst/>
                            <a:cxnLst>
                              <a:cxn ang="0">
                                <a:pos x="T0" y="T1"/>
                              </a:cxn>
                              <a:cxn ang="0">
                                <a:pos x="T2" y="T3"/>
                              </a:cxn>
                              <a:cxn ang="0">
                                <a:pos x="T4" y="T5"/>
                              </a:cxn>
                              <a:cxn ang="0">
                                <a:pos x="T6" y="T7"/>
                              </a:cxn>
                              <a:cxn ang="0">
                                <a:pos x="T8" y="T9"/>
                              </a:cxn>
                            </a:cxnLst>
                            <a:rect l="0" t="0" r="r" b="b"/>
                            <a:pathLst>
                              <a:path w="218" h="24">
                                <a:moveTo>
                                  <a:pt x="0" y="24"/>
                                </a:moveTo>
                                <a:cubicBezTo>
                                  <a:pt x="198" y="24"/>
                                  <a:pt x="198" y="24"/>
                                  <a:pt x="198" y="24"/>
                                </a:cubicBezTo>
                                <a:cubicBezTo>
                                  <a:pt x="206" y="16"/>
                                  <a:pt x="212" y="8"/>
                                  <a:pt x="218" y="0"/>
                                </a:cubicBezTo>
                                <a:cubicBezTo>
                                  <a:pt x="0" y="0"/>
                                  <a:pt x="0" y="0"/>
                                  <a:pt x="0" y="0"/>
                                </a:cubicBezTo>
                                <a:lnTo>
                                  <a:pt x="0" y="2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4"/>
                        <wps:cNvSpPr>
                          <a:spLocks/>
                        </wps:cNvSpPr>
                        <wps:spPr bwMode="auto">
                          <a:xfrm>
                            <a:off x="204787" y="250825"/>
                            <a:ext cx="234950" cy="22225"/>
                          </a:xfrm>
                          <a:custGeom>
                            <a:avLst/>
                            <a:gdLst>
                              <a:gd name="T0" fmla="*/ 0 w 248"/>
                              <a:gd name="T1" fmla="*/ 24 h 24"/>
                              <a:gd name="T2" fmla="*/ 248 w 248"/>
                              <a:gd name="T3" fmla="*/ 24 h 24"/>
                              <a:gd name="T4" fmla="*/ 248 w 248"/>
                              <a:gd name="T5" fmla="*/ 20 h 24"/>
                              <a:gd name="T6" fmla="*/ 247 w 248"/>
                              <a:gd name="T7" fmla="*/ 0 h 24"/>
                              <a:gd name="T8" fmla="*/ 0 w 248"/>
                              <a:gd name="T9" fmla="*/ 0 h 24"/>
                              <a:gd name="T10" fmla="*/ 0 w 248"/>
                              <a:gd name="T11" fmla="*/ 24 h 24"/>
                            </a:gdLst>
                            <a:ahLst/>
                            <a:cxnLst>
                              <a:cxn ang="0">
                                <a:pos x="T0" y="T1"/>
                              </a:cxn>
                              <a:cxn ang="0">
                                <a:pos x="T2" y="T3"/>
                              </a:cxn>
                              <a:cxn ang="0">
                                <a:pos x="T4" y="T5"/>
                              </a:cxn>
                              <a:cxn ang="0">
                                <a:pos x="T6" y="T7"/>
                              </a:cxn>
                              <a:cxn ang="0">
                                <a:pos x="T8" y="T9"/>
                              </a:cxn>
                              <a:cxn ang="0">
                                <a:pos x="T10" y="T11"/>
                              </a:cxn>
                            </a:cxnLst>
                            <a:rect l="0" t="0" r="r" b="b"/>
                            <a:pathLst>
                              <a:path w="248" h="24">
                                <a:moveTo>
                                  <a:pt x="0" y="24"/>
                                </a:moveTo>
                                <a:cubicBezTo>
                                  <a:pt x="248" y="24"/>
                                  <a:pt x="248" y="24"/>
                                  <a:pt x="248" y="24"/>
                                </a:cubicBezTo>
                                <a:cubicBezTo>
                                  <a:pt x="248" y="24"/>
                                  <a:pt x="248" y="21"/>
                                  <a:pt x="248" y="20"/>
                                </a:cubicBezTo>
                                <a:cubicBezTo>
                                  <a:pt x="248" y="13"/>
                                  <a:pt x="248" y="8"/>
                                  <a:pt x="247" y="0"/>
                                </a:cubicBezTo>
                                <a:cubicBezTo>
                                  <a:pt x="0" y="0"/>
                                  <a:pt x="0" y="0"/>
                                  <a:pt x="0" y="0"/>
                                </a:cubicBezTo>
                                <a:lnTo>
                                  <a:pt x="0" y="2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204787" y="307975"/>
                            <a:ext cx="231775" cy="22225"/>
                          </a:xfrm>
                          <a:custGeom>
                            <a:avLst/>
                            <a:gdLst>
                              <a:gd name="T0" fmla="*/ 0 w 244"/>
                              <a:gd name="T1" fmla="*/ 24 h 24"/>
                              <a:gd name="T2" fmla="*/ 236 w 244"/>
                              <a:gd name="T3" fmla="*/ 24 h 24"/>
                              <a:gd name="T4" fmla="*/ 244 w 244"/>
                              <a:gd name="T5" fmla="*/ 0 h 24"/>
                              <a:gd name="T6" fmla="*/ 0 w 244"/>
                              <a:gd name="T7" fmla="*/ 0 h 24"/>
                              <a:gd name="T8" fmla="*/ 0 w 244"/>
                              <a:gd name="T9" fmla="*/ 24 h 24"/>
                            </a:gdLst>
                            <a:ahLst/>
                            <a:cxnLst>
                              <a:cxn ang="0">
                                <a:pos x="T0" y="T1"/>
                              </a:cxn>
                              <a:cxn ang="0">
                                <a:pos x="T2" y="T3"/>
                              </a:cxn>
                              <a:cxn ang="0">
                                <a:pos x="T4" y="T5"/>
                              </a:cxn>
                              <a:cxn ang="0">
                                <a:pos x="T6" y="T7"/>
                              </a:cxn>
                              <a:cxn ang="0">
                                <a:pos x="T8" y="T9"/>
                              </a:cxn>
                            </a:cxnLst>
                            <a:rect l="0" t="0" r="r" b="b"/>
                            <a:pathLst>
                              <a:path w="244" h="24">
                                <a:moveTo>
                                  <a:pt x="0" y="24"/>
                                </a:moveTo>
                                <a:cubicBezTo>
                                  <a:pt x="236" y="24"/>
                                  <a:pt x="236" y="24"/>
                                  <a:pt x="236" y="24"/>
                                </a:cubicBezTo>
                                <a:cubicBezTo>
                                  <a:pt x="239" y="16"/>
                                  <a:pt x="242" y="8"/>
                                  <a:pt x="244" y="0"/>
                                </a:cubicBezTo>
                                <a:cubicBezTo>
                                  <a:pt x="0" y="0"/>
                                  <a:pt x="0" y="0"/>
                                  <a:pt x="0" y="0"/>
                                </a:cubicBezTo>
                                <a:lnTo>
                                  <a:pt x="0" y="2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32405E2" id="Group 77" o:spid="_x0000_s1026" style="position:absolute;margin-left:.9pt;margin-top:3.9pt;width:50.7pt;height:46.3pt;z-index:251666432;mso-width-relative:margin;mso-height-relative:margin" coordsize="9699,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">
                <v:shape id="Freeform 48" o:spid="_x0000_s1027" style="position:absolute;left:1222;top:1603;width:3048;height:2461;visibility:visible;mso-wrap-style:square;v-text-anchor:top" coordsize="3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5IIcEA&#10;AADbAAAADwAAAGRycy9kb3ducmV2LnhtbERPy2oCMRTdF/oP4Rbc1UxVVKZGkQGhYkF8QLu8TG5n&#10;hiY3Q5Jq/PtmIbg8nPdilawRF/Khc6zgbViAIK6d7rhRcD5tXucgQkTWaByTghsFWC2fnxZYanfl&#10;A12OsRE5hEOJCtoY+1LKULdkMQxdT5y5H+ctxgx9I7XHaw63Ro6KYiotdpwbWuypaqn+Pf5ZBana&#10;z9N2O5uNvs3XZzWudsbfvFKDl7R+BxEpxYf47v7QCiZ5bP6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SCHBAAAA2wAAAA8AAAAAAAAAAAAAAAAAmAIAAGRycy9kb3du&#10;cmV2LnhtbFBLBQYAAAAABAAEAPUAAACGAwAAAAA=&#10;" path="m,207v13,23,27,33,46,53c48,260,48,260,48,260,48,77,48,77,48,77,48,62,61,48,76,48v247,,247,,247,c316,32,306,16,294,,76,,76,,76,,34,,,35,,77l,207xe" filled="f" stroked="f">
                  <v:path arrowok="t" o:connecttype="custom" o:connectlocs="0,195904;43408,246063;45295,246063;45295,72873;71718,45427;304800,45427;277434,0;71718,0;0,72873;0,195904" o:connectangles="0,0,0,0,0,0,0,0,0,0"/>
                </v:shape>
                <v:shape id="Freeform 49" o:spid="_x0000_s1028" style="position:absolute;left:5572;top:762;width:4127;height:2540;visibility:visible;mso-wrap-style:square;v-text-anchor:top" coordsize="43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glj8IA&#10;AADbAAAADwAAAGRycy9kb3ducmV2LnhtbESPwWrDMBBE74X+g9hCbo3skpbEiWJKwaEng5N8wGJt&#10;LKfWyliK7fx9VCj0OMy8GWaXz7YTIw2+dawgXSYgiGunW24UnE/F6xqED8gaO8ek4E4e8v3z0w4z&#10;7SauaDyGRsQS9hkqMCH0mZS+NmTRL11PHL2LGyyGKIdG6gGnWG47+ZYkH9Jiy3HBYE9fhuqf480q&#10;WFVpXRambHRSvh8K2137dXpSavEyf25BBJrDf/iP/taR28Dvl/gD5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CWPwgAAANsAAAAPAAAAAAAAAAAAAAAAAJgCAABkcnMvZG93&#10;bnJldi54bWxQSwUGAAAAAAQABAD1AAAAhwMAAAAA&#10;" path="m,88v10,28,17,56,20,88c325,176,325,176,325,176v,64,,64,,64c361,240,361,240,361,240v28,,56,10,76,28c437,76,437,76,437,76,437,34,403,,361,,141,,141,,141,,115,,94,17,87,41,74,88,74,88,74,88l,88xe" filled="f" stroked="f">
                  <v:path arrowok="t" o:connecttype="custom" o:connectlocs="0,83403;18890,166806;306965,166806;306965,227463;340967,227463;412750,254000;412750,72030;340967,0;133176,0;82172,38858;69894,83403;0,83403" o:connectangles="0,0,0,0,0,0,0,0,0,0,0,0"/>
                </v:shape>
                <v:shape id="Freeform 50" o:spid="_x0000_s1029" style="position:absolute;left:1222;top:3413;width:8477;height:5762;visibility:visible;mso-wrap-style:square;v-text-anchor:top" coordsize="89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5HcAA&#10;AADbAAAADwAAAGRycy9kb3ducmV2LnhtbERPTWvCQBC9F/oflil4qxsFtaSuIoLiTdQe2tuYnSZp&#10;s7NrdjTx33cPBY+P9z1f9q5RN2pj7dnAaJiBIi68rbk08HHavL6BioJssfFMBu4UYbl4fppjbn3H&#10;B7odpVQphGOOBiqRkGsdi4ocxqEPxIn79q1DSbAttW2xS+Gu0eMsm2qHNaeGCgOtKyp+j1dnoNuP&#10;LtuzyPX8NftcyZrD6ecejBm89Kt3UEK9PMT/7p01MEnr05f0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b5HcAAAADbAAAADwAAAAAAAAAAAAAAAACYAgAAZHJzL2Rvd25y&#10;ZXYueG1sUEsFBgAAAAAEAAQA9QAAAIUDAAAAAA==&#10;" path="m820,48v16,,28,13,28,28c848,522,848,522,848,522v,20,-17,38,-37,38c85,560,85,560,85,560,65,560,48,544,48,524v,-295,,-295,,-295c32,224,16,217,,208,,524,,524,,524v,47,39,84,85,84c811,608,811,608,811,608v47,,85,-40,85,-86c896,76,896,76,896,76,896,34,862,,820,,471,,471,,471,v-4,17,-9,33,-16,48l820,48xe" filled="f" stroked="f">
                  <v:path arrowok="t" o:connecttype="custom" o:connectlocs="775820,45494;802311,72033;802311,494752;767305,530769;80420,530769;45414,496648;45414,217046;0,197143;0,496648;80420,576263;767305,576263;847725,494752;847725,72033;775820,0;445623,0;430485,45494;775820,45494" o:connectangles="0,0,0,0,0,0,0,0,0,0,0,0,0,0,0,0,0"/>
                </v:shape>
                <v:shape id="Freeform 51" o:spid="_x0000_s1030" style="position:absolute;width:5381;height:5381;visibility:visible;mso-wrap-style:square;v-text-anchor:top" coordsize="568,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IXMEA&#10;AADbAAAADwAAAGRycy9kb3ducmV2LnhtbESPT4vCMBTE7wt+h/AEb2uqqEg1Leqy4FVd2OuzebbV&#10;5qU06R+/vREW9jjMzG+YbTqYSnTUuNKygtk0AkGcWV1yruDn8v25BuE8ssbKMil4koM0GX1sMda2&#10;5xN1Z5+LAGEXo4LC+zqW0mUFGXRTWxMH72Ybgz7IJpe6wT7ATSXnUbSSBksOCwXWdCgoe5xbo8D2&#10;VLlFu//qTv5X3+dtfd1HS6Um42G3AeFp8P/hv/ZRK1jO4P0l/ACZ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yFzBAAAA2wAAAA8AAAAAAAAAAAAAAAAAmAIAAGRycy9kb3du&#10;cmV2LnhtbFBLBQYAAAAABAAEAPUAAACGAwAAAAA=&#10;" path="m,284c,441,127,568,284,568v60,,120,-19,170,-57c484,540,484,540,484,540v56,-56,56,-56,56,-56c511,455,511,455,511,455v38,-51,57,-111,57,-171c568,127,441,,284,,127,,,127,,284xm284,64v121,,220,98,220,220c504,405,405,504,284,504,162,504,64,405,64,284,64,162,162,64,284,64xe" filled="f" stroked="f">
                  <v:path arrowok="t" o:connecttype="custom" o:connectlocs="0,269082;269081,538163;430151,484157;458575,511634;511633,458576;484156,431099;538162,269082;269081,0;0,269082;269081,60638;477524,269082;269081,477525;60638,269082;269081,60638" o:connectangles="0,0,0,0,0,0,0,0,0,0,0,0,0,0"/>
                  <o:lock v:ext="edit" verticies="t"/>
                </v:shape>
                <v:shape id="Freeform 52" o:spid="_x0000_s1031" style="position:absolute;left:4889;top:4889;width:1905;height:1889;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DQF8YA&#10;AADbAAAADwAAAGRycy9kb3ducmV2LnhtbESPzWrDMBCE74W+g9hCbo0cQ9riRAlOQ0gKveSHpL0t&#10;1sYytVbGkmP37atCocdhZr5h5svB1uJGra8cK5iMExDEhdMVlwpOx83jCwgfkDXWjknBN3lYLu7v&#10;5php1/OebodQighhn6ECE0KTSekLQxb92DXE0bu61mKIsi2lbrGPcFvLNEmepMWK44LBhl4NFV+H&#10;zirI16fV+2Xa67f0ebMy+bnbfn50So0ehnwGItAQ/sN/7Z1WME3h90v8AX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DQF8YAAADbAAAADwAAAAAAAAAAAAAAAACYAgAAZHJz&#10;L2Rvd25yZXYueG1sUEsFBgAAAAAEAAQA9QAAAIsDAAAAAA==&#10;" path="m,56c128,184,128,184,128,184v15,16,41,16,56,c200,169,200,143,184,128,56,,56,,56,l,56xe" filled="f" stroked="f">
                  <v:path arrowok="t" o:connecttype="custom" o:connectlocs="0,52896;121920,173800;175260,173800;175260,120904;53340,0;0,52896" o:connectangles="0,0,0,0,0,0"/>
                </v:shape>
                <v:shape id="Freeform 53" o:spid="_x0000_s1032" style="position:absolute;left:2047;top:3635;width:2064;height:238;visibility:visible;mso-wrap-style:square;v-text-anchor:top" coordsize="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OHX8IA&#10;AADbAAAADwAAAGRycy9kb3ducmV2LnhtbESPQWsCMRSE70L/Q3iCN81asdStUYog2N60pfT42Pfc&#10;LG5etknU7b9vBKHHYWa+YZbr3rXqwiE2XgxMJwUolspTI7WBz4/t+BlUTCiErRc28MsR1quHwRJL&#10;8lfZ8+WQapUhEks0YFPqSq1jZdlhnPiOJXtHHxymLEOtKeA1w12rH4viSTtsJC9Y7HhjuTodzs7A&#10;+z7R5mS3dLQ0/6G3r0X41gtjRsP+9QVU4j79h+/tHRmYz+D2Jf8A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4dfwgAAANsAAAAPAAAAAAAAAAAAAAAAAJgCAABkcnMvZG93&#10;bnJldi54bWxQSwUGAAAAAAQABAD1AAAAhwMAAAAA&#10;" path="m,24v198,,198,,198,c206,16,212,8,218,,,,,,,l,24xe" filled="f" stroked="f">
                  <v:path arrowok="t" o:connecttype="custom" o:connectlocs="0,23813;187442,23813;206375,0;0,0;0,23813" o:connectangles="0,0,0,0,0"/>
                </v:shape>
                <v:shape id="Freeform 54" o:spid="_x0000_s1033" style="position:absolute;left:2047;top:2508;width:2350;height:222;visibility:visible;mso-wrap-style:square;v-text-anchor:top" coordsize="24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gMcMA&#10;AADbAAAADwAAAGRycy9kb3ducmV2LnhtbESPW2sCMRSE3wv+h3CEvhTNtqiU1Sj24uWx1UJ9PCbH&#10;3cXNyZKkuv57Iwh9HGbmG2Yya20tTuRD5VjBcz8DQaydqbhQ8LNd9F5BhIhssHZMCi4UYDbtPEww&#10;N+7M33TaxEIkCIccFZQxNrmUQZdkMfRdQ5y8g/MWY5K+kMbjOcFtLV+ybCQtVpwWSmzovSR93PxZ&#10;Bfi18iP/Kwe7j7d2KfXnk94jKfXYbedjEJHa+B++t9dGwXAAty/pB8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ygMcMAAADbAAAADwAAAAAAAAAAAAAAAACYAgAAZHJzL2Rv&#10;d25yZXYueG1sUEsFBgAAAAAEAAQA9QAAAIgDAAAAAA==&#10;" path="m,24v248,,248,,248,c248,24,248,21,248,20v,-7,,-12,-1,-20c,,,,,l,24xe" filled="f" stroked="f">
                  <v:path arrowok="t" o:connecttype="custom" o:connectlocs="0,22225;234950,22225;234950,18521;234003,0;0,0;0,22225" o:connectangles="0,0,0,0,0,0"/>
                </v:shape>
                <v:shape id="Freeform 55" o:spid="_x0000_s1034" style="position:absolute;left:2047;top:3079;width:2318;height:223;visibility:visible;mso-wrap-style:square;v-text-anchor:top" coordsize="24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8/ZsMA&#10;AADbAAAADwAAAGRycy9kb3ducmV2LnhtbESPX2vCMBTF3wf7DuEOfJupimNUUxFhMH0Yrhvs9dLc&#10;NsXmpiZRu336RRB8PJw/P85yNdhOnMmH1rGCyTgDQVw53XKj4Pvr7fkVRIjIGjvHpOCXAqyKx4cl&#10;5tpd+JPOZWxEGuGQowITY59LGSpDFsPY9cTJq523GJP0jdQeL2ncdnKaZS/SYsuJYLCnjaHqUJ5s&#10;gnzYU7k3e/dTZz1V29lu6v+OSo2ehvUCRKQh3sO39rtWMJ/D9Uv6A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8/ZsMAAADbAAAADwAAAAAAAAAAAAAAAACYAgAAZHJzL2Rv&#10;d25yZXYueG1sUEsFBgAAAAAEAAQA9QAAAIgDAAAAAA==&#10;" path="m,24v236,,236,,236,c239,16,242,8,244,,,,,,,l,24xe" filled="f" stroked="f">
                  <v:path arrowok="t" o:connecttype="custom" o:connectlocs="0,22225;224176,22225;231775,0;0,0;0,22225" o:connectangles="0,0,0,0,0"/>
                </v:shape>
                <w10:wrap type="square"/>
              </v:group>
            </w:pict>
          </mc:Fallback>
        </mc:AlternateContent>
      </w:r>
      <w:r w:rsidR="001F60C3">
        <w:t>fund</w:t>
      </w:r>
      <w:r w:rsidR="00C53F8D">
        <w:t xml:space="preserve"> </w:t>
      </w:r>
      <w:r w:rsidR="001F60C3">
        <w:t>POLICIEs</w:t>
      </w:r>
    </w:p>
    <w:p w14:paraId="62C8C38C" w14:textId="4F014A14" w:rsidR="003C7B7B" w:rsidRDefault="00A57D2C" w:rsidP="0096232E">
      <w:pPr>
        <w:rPr>
          <w:lang w:val="en-GB"/>
        </w:rPr>
      </w:pPr>
      <w:r>
        <w:rPr>
          <w:lang w:val="en-GB"/>
        </w:rPr>
        <w:t>In addition to the information</w:t>
      </w:r>
      <w:r w:rsidR="005B203D">
        <w:rPr>
          <w:lang w:val="en-GB"/>
        </w:rPr>
        <w:t>/approaches</w:t>
      </w:r>
      <w:r w:rsidR="00F40FDD">
        <w:rPr>
          <w:lang w:val="en-GB"/>
        </w:rPr>
        <w:t xml:space="preserve"> required by </w:t>
      </w:r>
      <w:r w:rsidR="005B203D">
        <w:rPr>
          <w:lang w:val="en-GB"/>
        </w:rPr>
        <w:t xml:space="preserve">overarching </w:t>
      </w:r>
      <w:r w:rsidR="001C3E79">
        <w:rPr>
          <w:lang w:val="en-GB"/>
        </w:rPr>
        <w:t xml:space="preserve">guidance and </w:t>
      </w:r>
      <w:r w:rsidR="00F40FDD">
        <w:rPr>
          <w:lang w:val="en-GB"/>
        </w:rPr>
        <w:t>Regulation</w:t>
      </w:r>
      <w:r>
        <w:rPr>
          <w:lang w:val="en-GB"/>
        </w:rPr>
        <w:t xml:space="preserve">, this statement </w:t>
      </w:r>
      <w:r w:rsidR="00F40FDD">
        <w:rPr>
          <w:lang w:val="en-GB"/>
        </w:rPr>
        <w:t xml:space="preserve">also </w:t>
      </w:r>
      <w:r w:rsidR="005B203D">
        <w:rPr>
          <w:lang w:val="en-GB"/>
        </w:rPr>
        <w:t>summarises</w:t>
      </w:r>
      <w:r>
        <w:rPr>
          <w:lang w:val="en-GB"/>
        </w:rPr>
        <w:t xml:space="preserve"> the </w:t>
      </w:r>
      <w:r w:rsidR="00177D13">
        <w:rPr>
          <w:rFonts w:cs="Arial"/>
        </w:rPr>
        <w:t>Fund</w:t>
      </w:r>
      <w:r>
        <w:rPr>
          <w:lang w:val="en-GB"/>
        </w:rPr>
        <w:t xml:space="preserve">’s </w:t>
      </w:r>
      <w:r w:rsidR="00407B73">
        <w:rPr>
          <w:lang w:val="en-GB"/>
        </w:rPr>
        <w:t xml:space="preserve">practice </w:t>
      </w:r>
      <w:r w:rsidR="001C3E79">
        <w:rPr>
          <w:lang w:val="en-GB"/>
        </w:rPr>
        <w:t>and polic</w:t>
      </w:r>
      <w:r w:rsidR="00AA359E">
        <w:rPr>
          <w:lang w:val="en-GB"/>
        </w:rPr>
        <w:t>i</w:t>
      </w:r>
      <w:r w:rsidR="001C3E79">
        <w:rPr>
          <w:lang w:val="en-GB"/>
        </w:rPr>
        <w:t xml:space="preserve">es </w:t>
      </w:r>
      <w:r>
        <w:rPr>
          <w:lang w:val="en-GB"/>
        </w:rPr>
        <w:t xml:space="preserve">in </w:t>
      </w:r>
      <w:r w:rsidR="001C3E79">
        <w:rPr>
          <w:lang w:val="en-GB"/>
        </w:rPr>
        <w:t xml:space="preserve">a number of key </w:t>
      </w:r>
      <w:r w:rsidR="000E7542">
        <w:rPr>
          <w:lang w:val="en-GB"/>
        </w:rPr>
        <w:t>areas:</w:t>
      </w:r>
    </w:p>
    <w:p w14:paraId="339CBEB7" w14:textId="7A5512CA" w:rsidR="00590FB9" w:rsidRPr="001C3E79" w:rsidRDefault="00590FB9" w:rsidP="00DA031F">
      <w:pPr>
        <w:pStyle w:val="Heading20"/>
        <w:numPr>
          <w:ilvl w:val="0"/>
          <w:numId w:val="17"/>
        </w:numPr>
        <w:rPr>
          <w:lang w:val="en-GB"/>
        </w:rPr>
      </w:pPr>
      <w:r w:rsidRPr="001C3E79">
        <w:rPr>
          <w:lang w:val="en-GB"/>
        </w:rPr>
        <w:t xml:space="preserve">Covenant </w:t>
      </w:r>
      <w:r w:rsidR="00EC51D5">
        <w:rPr>
          <w:lang w:val="en-GB"/>
        </w:rPr>
        <w:t xml:space="preserve">assessment and </w:t>
      </w:r>
      <w:r w:rsidRPr="001C3E79">
        <w:rPr>
          <w:lang w:val="en-GB"/>
        </w:rPr>
        <w:t>monitoring</w:t>
      </w:r>
    </w:p>
    <w:p w14:paraId="6B3D6169" w14:textId="0FD70B2C" w:rsidR="001C3E79" w:rsidRPr="00EC0BFC" w:rsidRDefault="00014B3A" w:rsidP="001C3E79">
      <w:pPr>
        <w:rPr>
          <w:lang w:val="en-GB"/>
        </w:rPr>
      </w:pPr>
      <w:r w:rsidRPr="00EC0BFC">
        <w:rPr>
          <w:lang w:val="en-GB"/>
        </w:rPr>
        <w:t xml:space="preserve">An employer’s </w:t>
      </w:r>
      <w:r w:rsidR="00EC51D5" w:rsidRPr="00EC0BFC">
        <w:rPr>
          <w:lang w:val="en-GB"/>
        </w:rPr>
        <w:t xml:space="preserve">financial </w:t>
      </w:r>
      <w:r w:rsidRPr="00EC0BFC">
        <w:rPr>
          <w:lang w:val="en-GB"/>
        </w:rPr>
        <w:t>covenant underpins its legal obligation and</w:t>
      </w:r>
      <w:r w:rsidR="00EC51D5" w:rsidRPr="00EC0BFC">
        <w:rPr>
          <w:lang w:val="en-GB"/>
        </w:rPr>
        <w:t xml:space="preserve"> crucially the</w:t>
      </w:r>
      <w:r w:rsidRPr="00EC0BFC">
        <w:rPr>
          <w:lang w:val="en-GB"/>
        </w:rPr>
        <w:t xml:space="preserve"> ability to </w:t>
      </w:r>
      <w:r w:rsidR="00DD4930" w:rsidRPr="00EC0BFC">
        <w:rPr>
          <w:lang w:val="en-GB"/>
        </w:rPr>
        <w:t>meet its financial responsibilities</w:t>
      </w:r>
      <w:r w:rsidRPr="00EC0BFC">
        <w:rPr>
          <w:lang w:val="en-GB"/>
        </w:rPr>
        <w:t xml:space="preserve"> </w:t>
      </w:r>
      <w:r w:rsidR="00EC51D5" w:rsidRPr="00EC0BFC">
        <w:rPr>
          <w:lang w:val="en-GB"/>
        </w:rPr>
        <w:t xml:space="preserve">to the </w:t>
      </w:r>
      <w:r w:rsidR="00177D13" w:rsidRPr="00EC0BFC">
        <w:rPr>
          <w:rFonts w:cs="Arial"/>
        </w:rPr>
        <w:t>Fund</w:t>
      </w:r>
      <w:r w:rsidR="00EC51D5" w:rsidRPr="00EC0BFC">
        <w:rPr>
          <w:lang w:val="en-GB"/>
        </w:rPr>
        <w:t xml:space="preserve"> </w:t>
      </w:r>
      <w:r w:rsidRPr="00EC0BFC">
        <w:rPr>
          <w:lang w:val="en-GB"/>
        </w:rPr>
        <w:t xml:space="preserve">now and in the future.  The strength of covenant </w:t>
      </w:r>
      <w:r w:rsidR="00EC51D5" w:rsidRPr="00EC0BFC">
        <w:rPr>
          <w:lang w:val="en-GB"/>
        </w:rPr>
        <w:t xml:space="preserve">to the </w:t>
      </w:r>
      <w:r w:rsidR="00177D13" w:rsidRPr="00EC0BFC">
        <w:rPr>
          <w:rFonts w:cs="Arial"/>
        </w:rPr>
        <w:t>Fund</w:t>
      </w:r>
      <w:r w:rsidR="00EC51D5" w:rsidRPr="00EC0BFC">
        <w:rPr>
          <w:lang w:val="en-GB"/>
        </w:rPr>
        <w:t xml:space="preserve"> </w:t>
      </w:r>
      <w:r w:rsidRPr="00EC0BFC">
        <w:rPr>
          <w:lang w:val="en-GB"/>
        </w:rPr>
        <w:t xml:space="preserve">effectively underwrites the risks to which the </w:t>
      </w:r>
      <w:r w:rsidR="00177D13" w:rsidRPr="00EC0BFC">
        <w:rPr>
          <w:rFonts w:cs="Arial"/>
        </w:rPr>
        <w:t>Fund</w:t>
      </w:r>
      <w:r w:rsidRPr="00EC0BFC">
        <w:rPr>
          <w:lang w:val="en-GB"/>
        </w:rPr>
        <w:t xml:space="preserve"> is exposed</w:t>
      </w:r>
      <w:r w:rsidR="00E1030F" w:rsidRPr="00EC0BFC">
        <w:rPr>
          <w:lang w:val="en-GB"/>
        </w:rPr>
        <w:t>.  These risks</w:t>
      </w:r>
      <w:r w:rsidRPr="00EC0BFC">
        <w:rPr>
          <w:lang w:val="en-GB"/>
        </w:rPr>
        <w:t xml:space="preserve"> </w:t>
      </w:r>
      <w:r w:rsidR="00E1030F" w:rsidRPr="00EC0BFC">
        <w:rPr>
          <w:lang w:val="en-GB"/>
        </w:rPr>
        <w:t xml:space="preserve">include </w:t>
      </w:r>
      <w:r w:rsidRPr="00EC0BFC">
        <w:rPr>
          <w:lang w:val="en-GB"/>
        </w:rPr>
        <w:t>underfunding, longevity, investment and market forces.</w:t>
      </w:r>
    </w:p>
    <w:p w14:paraId="6A4D4CF7" w14:textId="397AFD09" w:rsidR="00EC51D5" w:rsidRPr="00EC0BFC" w:rsidRDefault="00DD4930" w:rsidP="001C3E79">
      <w:pPr>
        <w:rPr>
          <w:lang w:val="en-GB"/>
        </w:rPr>
      </w:pPr>
      <w:r w:rsidRPr="00EC0BFC">
        <w:rPr>
          <w:lang w:val="en-GB"/>
        </w:rPr>
        <w:t>The strength of employer covenant can be subject to substantial variation over relatively short periods of time and, as such, regular monitoring and assessment is vital</w:t>
      </w:r>
      <w:r w:rsidR="00EC51D5" w:rsidRPr="00EC0BFC">
        <w:rPr>
          <w:lang w:val="en-GB"/>
        </w:rPr>
        <w:t xml:space="preserve"> to the overall risk management and governance of the </w:t>
      </w:r>
      <w:r w:rsidR="00177D13" w:rsidRPr="00EC0BFC">
        <w:rPr>
          <w:rFonts w:cs="Arial"/>
        </w:rPr>
        <w:t>Fund</w:t>
      </w:r>
      <w:r w:rsidRPr="00EC0BFC">
        <w:rPr>
          <w:lang w:val="en-GB"/>
        </w:rPr>
        <w:t>. The employer</w:t>
      </w:r>
      <w:r w:rsidR="00EC51D5" w:rsidRPr="00EC0BFC">
        <w:rPr>
          <w:lang w:val="en-GB"/>
        </w:rPr>
        <w:t>s’</w:t>
      </w:r>
      <w:r w:rsidRPr="00EC0BFC">
        <w:rPr>
          <w:lang w:val="en-GB"/>
        </w:rPr>
        <w:t xml:space="preserve"> covenant</w:t>
      </w:r>
      <w:r w:rsidR="001F322C" w:rsidRPr="00EC0BFC">
        <w:rPr>
          <w:lang w:val="en-GB"/>
        </w:rPr>
        <w:t>s</w:t>
      </w:r>
      <w:r w:rsidRPr="00EC0BFC">
        <w:rPr>
          <w:lang w:val="en-GB"/>
        </w:rPr>
        <w:t xml:space="preserve"> will be assessed </w:t>
      </w:r>
      <w:r w:rsidR="00EC51D5" w:rsidRPr="00EC0BFC">
        <w:rPr>
          <w:lang w:val="en-GB"/>
        </w:rPr>
        <w:t xml:space="preserve">and monitored </w:t>
      </w:r>
      <w:r w:rsidRPr="00EC0BFC">
        <w:rPr>
          <w:lang w:val="en-GB"/>
        </w:rPr>
        <w:t xml:space="preserve">objectively </w:t>
      </w:r>
      <w:r w:rsidR="00EC51D5" w:rsidRPr="00EC0BFC">
        <w:rPr>
          <w:lang w:val="en-GB"/>
        </w:rPr>
        <w:t>in a proportionate manner</w:t>
      </w:r>
      <w:r w:rsidR="0040250A" w:rsidRPr="00EC0BFC">
        <w:rPr>
          <w:lang w:val="en-GB"/>
        </w:rPr>
        <w:t>, and an employer’s</w:t>
      </w:r>
      <w:r w:rsidRPr="00EC0BFC">
        <w:rPr>
          <w:lang w:val="en-GB"/>
        </w:rPr>
        <w:t xml:space="preserve"> ability to meet their obligations </w:t>
      </w:r>
      <w:r w:rsidR="00EC51D5" w:rsidRPr="00EC0BFC">
        <w:rPr>
          <w:lang w:val="en-GB"/>
        </w:rPr>
        <w:t xml:space="preserve">in the short and long term </w:t>
      </w:r>
      <w:r w:rsidRPr="00EC0BFC">
        <w:rPr>
          <w:lang w:val="en-GB"/>
        </w:rPr>
        <w:t xml:space="preserve">will be </w:t>
      </w:r>
      <w:r w:rsidR="00EC51D5" w:rsidRPr="00EC0BFC">
        <w:rPr>
          <w:lang w:val="en-GB"/>
        </w:rPr>
        <w:t xml:space="preserve">considered when determining </w:t>
      </w:r>
      <w:r w:rsidR="0040250A" w:rsidRPr="00EC0BFC">
        <w:rPr>
          <w:lang w:val="en-GB"/>
        </w:rPr>
        <w:t>its</w:t>
      </w:r>
      <w:r w:rsidR="00EC51D5" w:rsidRPr="00EC0BFC">
        <w:rPr>
          <w:lang w:val="en-GB"/>
        </w:rPr>
        <w:t xml:space="preserve"> funding strategy</w:t>
      </w:r>
      <w:r w:rsidRPr="00EC0BFC">
        <w:rPr>
          <w:lang w:val="en-GB"/>
        </w:rPr>
        <w:t xml:space="preserve">.  </w:t>
      </w:r>
    </w:p>
    <w:p w14:paraId="3363855E" w14:textId="6539E81D" w:rsidR="00DD4930" w:rsidRDefault="0040250A" w:rsidP="001C3E79">
      <w:pPr>
        <w:rPr>
          <w:lang w:val="en-GB"/>
        </w:rPr>
      </w:pPr>
      <w:r w:rsidRPr="00EC0BFC">
        <w:rPr>
          <w:lang w:val="en-GB"/>
        </w:rPr>
        <w:t>After the valuation, t</w:t>
      </w:r>
      <w:r w:rsidR="00EC51D5" w:rsidRPr="00EC0BFC">
        <w:rPr>
          <w:lang w:val="en-GB"/>
        </w:rPr>
        <w:t xml:space="preserve">he </w:t>
      </w:r>
      <w:r w:rsidR="00177D13" w:rsidRPr="00EC0BFC">
        <w:rPr>
          <w:rFonts w:cs="Arial"/>
        </w:rPr>
        <w:t>Fund</w:t>
      </w:r>
      <w:r w:rsidR="00EC51D5" w:rsidRPr="00EC0BFC">
        <w:rPr>
          <w:lang w:val="en-GB"/>
        </w:rPr>
        <w:t xml:space="preserve"> will continue to monitor </w:t>
      </w:r>
      <w:r w:rsidRPr="00EC0BFC">
        <w:rPr>
          <w:lang w:val="en-GB"/>
        </w:rPr>
        <w:t>employers’</w:t>
      </w:r>
      <w:r w:rsidR="00EC51D5" w:rsidRPr="00EC0BFC">
        <w:rPr>
          <w:lang w:val="en-GB"/>
        </w:rPr>
        <w:t xml:space="preserve"> covenant</w:t>
      </w:r>
      <w:r w:rsidRPr="00EC0BFC">
        <w:rPr>
          <w:lang w:val="en-GB"/>
        </w:rPr>
        <w:t>s</w:t>
      </w:r>
      <w:r w:rsidR="00EC51D5" w:rsidRPr="00EC0BFC">
        <w:rPr>
          <w:lang w:val="en-GB"/>
        </w:rPr>
        <w:t xml:space="preserve"> in conjunction with the</w:t>
      </w:r>
      <w:r w:rsidRPr="00EC0BFC">
        <w:rPr>
          <w:lang w:val="en-GB"/>
        </w:rPr>
        <w:t>ir</w:t>
      </w:r>
      <w:r w:rsidR="00EC51D5" w:rsidRPr="00EC0BFC">
        <w:rPr>
          <w:lang w:val="en-GB"/>
        </w:rPr>
        <w:t xml:space="preserve"> funding position</w:t>
      </w:r>
      <w:r w:rsidRPr="00EC0BFC">
        <w:rPr>
          <w:lang w:val="en-GB"/>
        </w:rPr>
        <w:t>s</w:t>
      </w:r>
      <w:r w:rsidR="00EC51D5" w:rsidRPr="00EC0BFC">
        <w:rPr>
          <w:lang w:val="en-GB"/>
        </w:rPr>
        <w:t xml:space="preserve"> over the inter-valuation period</w:t>
      </w:r>
      <w:r w:rsidRPr="00EC0BFC">
        <w:rPr>
          <w:lang w:val="en-GB"/>
        </w:rPr>
        <w:t xml:space="preserve">.   This </w:t>
      </w:r>
      <w:r w:rsidR="00EC51D5" w:rsidRPr="00EC0BFC">
        <w:rPr>
          <w:lang w:val="en-GB"/>
        </w:rPr>
        <w:t>will</w:t>
      </w:r>
      <w:r w:rsidR="00DD4930" w:rsidRPr="00EC0BFC">
        <w:rPr>
          <w:lang w:val="en-GB"/>
        </w:rPr>
        <w:t xml:space="preserve"> enable the </w:t>
      </w:r>
      <w:r w:rsidR="00177D13" w:rsidRPr="00EC0BFC">
        <w:rPr>
          <w:rFonts w:cs="Arial"/>
        </w:rPr>
        <w:t>Fund</w:t>
      </w:r>
      <w:r w:rsidR="00DD4930" w:rsidRPr="00EC0BFC">
        <w:rPr>
          <w:lang w:val="en-GB"/>
        </w:rPr>
        <w:t xml:space="preserve"> to anticipate and pre-empt </w:t>
      </w:r>
      <w:r w:rsidR="00EC51D5" w:rsidRPr="00EC0BFC">
        <w:rPr>
          <w:lang w:val="en-GB"/>
        </w:rPr>
        <w:t xml:space="preserve">any material </w:t>
      </w:r>
      <w:r w:rsidR="00DD4930" w:rsidRPr="00EC0BFC">
        <w:rPr>
          <w:lang w:val="en-GB"/>
        </w:rPr>
        <w:t xml:space="preserve">issues </w:t>
      </w:r>
      <w:r w:rsidR="00EC51D5" w:rsidRPr="00EC0BFC">
        <w:rPr>
          <w:lang w:val="en-GB"/>
        </w:rPr>
        <w:t xml:space="preserve">arising </w:t>
      </w:r>
      <w:r w:rsidR="00DD4930" w:rsidRPr="00EC0BFC">
        <w:rPr>
          <w:lang w:val="en-GB"/>
        </w:rPr>
        <w:t>and thus adopt a proactive approach</w:t>
      </w:r>
      <w:r w:rsidR="00EC51D5" w:rsidRPr="00EC0BFC">
        <w:rPr>
          <w:lang w:val="en-GB"/>
        </w:rPr>
        <w:t xml:space="preserve"> in partnership with the employer</w:t>
      </w:r>
      <w:r w:rsidR="00DD4930" w:rsidRPr="00EC0BFC">
        <w:rPr>
          <w:lang w:val="en-GB"/>
        </w:rPr>
        <w:t xml:space="preserve">. </w:t>
      </w:r>
    </w:p>
    <w:p w14:paraId="4666A7BA" w14:textId="444650C0" w:rsidR="001C3E79" w:rsidRPr="00A778C4" w:rsidRDefault="00FC7173" w:rsidP="00DA031F">
      <w:pPr>
        <w:pStyle w:val="Heading20"/>
        <w:numPr>
          <w:ilvl w:val="0"/>
          <w:numId w:val="17"/>
        </w:numPr>
        <w:rPr>
          <w:lang w:val="en-GB"/>
        </w:rPr>
      </w:pPr>
      <w:r w:rsidRPr="00A778C4">
        <w:rPr>
          <w:lang w:val="en-GB"/>
        </w:rPr>
        <w:t>Admitting employers to</w:t>
      </w:r>
      <w:r w:rsidR="00590FB9" w:rsidRPr="00A778C4">
        <w:rPr>
          <w:lang w:val="en-GB"/>
        </w:rPr>
        <w:t xml:space="preserve"> the Fund</w:t>
      </w:r>
    </w:p>
    <w:p w14:paraId="19D05307" w14:textId="798A94D2" w:rsidR="00FC7173" w:rsidRPr="00A778C4" w:rsidRDefault="00FC7173" w:rsidP="00FC7173">
      <w:pPr>
        <w:pStyle w:val="DocumentText"/>
        <w:rPr>
          <w:lang w:val="en-GB"/>
        </w:rPr>
      </w:pPr>
      <w:r w:rsidRPr="00A778C4">
        <w:rPr>
          <w:lang w:val="en-GB"/>
        </w:rPr>
        <w:t xml:space="preserve">Various types of employers are permitted to join the LGPS under certain circumstances, and the conditions upon which their entry to the </w:t>
      </w:r>
      <w:r w:rsidR="00177D13">
        <w:rPr>
          <w:rFonts w:cs="Arial"/>
        </w:rPr>
        <w:t>Fund</w:t>
      </w:r>
      <w:r w:rsidRPr="00A778C4">
        <w:rPr>
          <w:lang w:val="en-GB"/>
        </w:rPr>
        <w:t xml:space="preserve"> is based and t</w:t>
      </w:r>
      <w:r w:rsidR="00D23227" w:rsidRPr="00A778C4">
        <w:rPr>
          <w:lang w:val="en-GB"/>
        </w:rPr>
        <w:t>he approach taken is set out in</w:t>
      </w:r>
      <w:r w:rsidR="00C80E47" w:rsidRPr="00A778C4">
        <w:rPr>
          <w:lang w:val="en-GB"/>
        </w:rPr>
        <w:t xml:space="preserve"> </w:t>
      </w:r>
      <w:r w:rsidR="00EC0BFC">
        <w:rPr>
          <w:lang w:val="en-GB"/>
        </w:rPr>
        <w:t xml:space="preserve">an </w:t>
      </w:r>
      <w:r w:rsidR="00C80E47" w:rsidRPr="00A778C4">
        <w:rPr>
          <w:lang w:val="en-GB"/>
        </w:rPr>
        <w:t>A</w:t>
      </w:r>
      <w:r w:rsidRPr="00A778C4">
        <w:rPr>
          <w:lang w:val="en-GB"/>
        </w:rPr>
        <w:t>ppendix</w:t>
      </w:r>
      <w:r w:rsidR="00D23227" w:rsidRPr="00A778C4">
        <w:rPr>
          <w:lang w:val="en-GB"/>
        </w:rPr>
        <w:t xml:space="preserve"> </w:t>
      </w:r>
      <w:r w:rsidR="00EC0BFC">
        <w:rPr>
          <w:lang w:val="en-GB"/>
        </w:rPr>
        <w:t>to this statement</w:t>
      </w:r>
      <w:r w:rsidRPr="00A778C4">
        <w:rPr>
          <w:lang w:val="en-GB"/>
        </w:rPr>
        <w:t>.  Examples of new employers include:</w:t>
      </w:r>
    </w:p>
    <w:p w14:paraId="5894BFEC" w14:textId="3D8C622A" w:rsidR="00FC7173" w:rsidRPr="00A778C4" w:rsidRDefault="00177D13" w:rsidP="00FC7173">
      <w:pPr>
        <w:pStyle w:val="Bullet2"/>
        <w:rPr>
          <w:lang w:val="en-GB"/>
        </w:rPr>
      </w:pPr>
      <w:r>
        <w:rPr>
          <w:lang w:val="en-GB"/>
        </w:rPr>
        <w:t>Fund</w:t>
      </w:r>
      <w:r w:rsidR="00FC7173" w:rsidRPr="00A778C4">
        <w:rPr>
          <w:lang w:val="en-GB"/>
        </w:rPr>
        <w:t xml:space="preserve"> Employers </w:t>
      </w:r>
    </w:p>
    <w:p w14:paraId="5CC1567E" w14:textId="6A7C6094" w:rsidR="00FC7173" w:rsidRPr="00A778C4" w:rsidRDefault="001F322C" w:rsidP="00FC7173">
      <w:pPr>
        <w:pStyle w:val="Bullet2"/>
        <w:rPr>
          <w:lang w:val="en-GB"/>
        </w:rPr>
      </w:pPr>
      <w:r w:rsidRPr="00A778C4">
        <w:rPr>
          <w:lang w:val="en-GB"/>
        </w:rPr>
        <w:t>Designated</w:t>
      </w:r>
      <w:r w:rsidR="00FC7173" w:rsidRPr="00A778C4">
        <w:rPr>
          <w:lang w:val="en-GB"/>
        </w:rPr>
        <w:t xml:space="preserve"> bodies - those that are permitted to join if they pass a resolution</w:t>
      </w:r>
    </w:p>
    <w:p w14:paraId="2B7D7E80" w14:textId="6EB120E2" w:rsidR="00FC7173" w:rsidRPr="00A778C4" w:rsidRDefault="00FC7173" w:rsidP="00FC7173">
      <w:pPr>
        <w:pStyle w:val="Bullet2"/>
        <w:rPr>
          <w:lang w:val="en-GB"/>
        </w:rPr>
      </w:pPr>
      <w:r w:rsidRPr="00A778C4">
        <w:rPr>
          <w:lang w:val="en-GB"/>
        </w:rPr>
        <w:t xml:space="preserve">Admission bodies - usually arising as a result of an outsourcing or </w:t>
      </w:r>
      <w:r w:rsidR="00662F07">
        <w:rPr>
          <w:lang w:val="en-GB"/>
        </w:rPr>
        <w:t xml:space="preserve">a transfer to </w:t>
      </w:r>
      <w:r w:rsidRPr="00A778C4">
        <w:rPr>
          <w:lang w:val="en-GB"/>
        </w:rPr>
        <w:t>an entity that provides some form of public service and their funding primarily derives from local or central government.</w:t>
      </w:r>
    </w:p>
    <w:p w14:paraId="03B41FD4" w14:textId="77777777" w:rsidR="00FC7173" w:rsidRPr="00A778C4" w:rsidRDefault="00FC7173" w:rsidP="00FC7173">
      <w:pPr>
        <w:pStyle w:val="Bullet2"/>
        <w:numPr>
          <w:ilvl w:val="0"/>
          <w:numId w:val="0"/>
        </w:numPr>
        <w:rPr>
          <w:lang w:val="en-GB"/>
        </w:rPr>
      </w:pPr>
    </w:p>
    <w:p w14:paraId="57FD8DA1" w14:textId="5B139669" w:rsidR="00654471" w:rsidRDefault="00A177D4" w:rsidP="00FC7173">
      <w:pPr>
        <w:pStyle w:val="Bullet2"/>
        <w:numPr>
          <w:ilvl w:val="0"/>
          <w:numId w:val="0"/>
        </w:numPr>
        <w:rPr>
          <w:lang w:val="en-GB"/>
        </w:rPr>
      </w:pPr>
      <w:r w:rsidRPr="00A778C4">
        <w:rPr>
          <w:lang w:val="en-GB"/>
        </w:rPr>
        <w:t>Certain employers may be required to provide a guarantee or alternative security before entry will be allowed</w:t>
      </w:r>
      <w:r w:rsidR="00662F07">
        <w:rPr>
          <w:lang w:val="en-GB"/>
        </w:rPr>
        <w:t xml:space="preserve">, in accordance with the Regulations and </w:t>
      </w:r>
      <w:r w:rsidR="00177D13">
        <w:rPr>
          <w:rFonts w:cs="Arial"/>
        </w:rPr>
        <w:t>Fund</w:t>
      </w:r>
      <w:r w:rsidR="00662F07">
        <w:rPr>
          <w:lang w:val="en-GB"/>
        </w:rPr>
        <w:t xml:space="preserve"> policies</w:t>
      </w:r>
      <w:r w:rsidRPr="00A778C4">
        <w:rPr>
          <w:lang w:val="en-GB"/>
        </w:rPr>
        <w:t>.</w:t>
      </w:r>
    </w:p>
    <w:p w14:paraId="352F3CB2" w14:textId="77777777" w:rsidR="00654471" w:rsidRPr="00FC7173" w:rsidRDefault="00654471" w:rsidP="00FC7173">
      <w:pPr>
        <w:pStyle w:val="Bullet2"/>
        <w:numPr>
          <w:ilvl w:val="0"/>
          <w:numId w:val="0"/>
        </w:numPr>
        <w:rPr>
          <w:lang w:val="en-GB"/>
        </w:rPr>
      </w:pPr>
    </w:p>
    <w:p w14:paraId="70260AB1" w14:textId="2C75EE97" w:rsidR="00590FB9" w:rsidRDefault="00590FB9" w:rsidP="00DA031F">
      <w:pPr>
        <w:pStyle w:val="Heading20"/>
        <w:numPr>
          <w:ilvl w:val="0"/>
          <w:numId w:val="17"/>
        </w:numPr>
        <w:rPr>
          <w:lang w:val="en-GB"/>
        </w:rPr>
      </w:pPr>
      <w:r w:rsidRPr="001C3E79">
        <w:rPr>
          <w:lang w:val="en-GB"/>
        </w:rPr>
        <w:t xml:space="preserve">Termination policy for employers </w:t>
      </w:r>
      <w:r w:rsidR="008B5A1B">
        <w:rPr>
          <w:lang w:val="en-GB"/>
        </w:rPr>
        <w:t>exiting</w:t>
      </w:r>
      <w:r w:rsidRPr="001C3E79">
        <w:rPr>
          <w:lang w:val="en-GB"/>
        </w:rPr>
        <w:t xml:space="preserve"> the Fund</w:t>
      </w:r>
    </w:p>
    <w:p w14:paraId="7DA1F64B" w14:textId="3E993039" w:rsidR="00E639CB" w:rsidRDefault="000E7542" w:rsidP="000E7542">
      <w:pPr>
        <w:pStyle w:val="DocumentText"/>
        <w:rPr>
          <w:lang w:val="en-GB"/>
        </w:rPr>
      </w:pPr>
      <w:r>
        <w:rPr>
          <w:lang w:val="en-GB"/>
        </w:rPr>
        <w:t xml:space="preserve">When an employer ceases to participate within the </w:t>
      </w:r>
      <w:r w:rsidR="00177D13">
        <w:rPr>
          <w:rFonts w:cs="Arial"/>
        </w:rPr>
        <w:t>Fund</w:t>
      </w:r>
      <w:r>
        <w:rPr>
          <w:lang w:val="en-GB"/>
        </w:rPr>
        <w:t xml:space="preserve">, it becomes an exiting employer under the Regulations.   The </w:t>
      </w:r>
      <w:r w:rsidR="00177D13">
        <w:rPr>
          <w:rFonts w:cs="Arial"/>
        </w:rPr>
        <w:t>Fund</w:t>
      </w:r>
      <w:r>
        <w:rPr>
          <w:lang w:val="en-GB"/>
        </w:rPr>
        <w:t xml:space="preserve"> is then required to obtain </w:t>
      </w:r>
      <w:r w:rsidRPr="000E7542">
        <w:rPr>
          <w:lang w:val="en-GB"/>
        </w:rPr>
        <w:t xml:space="preserve">an actuarial valuation </w:t>
      </w:r>
      <w:r>
        <w:rPr>
          <w:lang w:val="en-GB"/>
        </w:rPr>
        <w:t xml:space="preserve">of that employer’s </w:t>
      </w:r>
      <w:r w:rsidRPr="000E7542">
        <w:rPr>
          <w:lang w:val="en-GB"/>
        </w:rPr>
        <w:t xml:space="preserve">liabilities </w:t>
      </w:r>
      <w:r>
        <w:rPr>
          <w:lang w:val="en-GB"/>
        </w:rPr>
        <w:t>i</w:t>
      </w:r>
      <w:r w:rsidRPr="000E7542">
        <w:rPr>
          <w:lang w:val="en-GB"/>
        </w:rPr>
        <w:t xml:space="preserve">n respect of </w:t>
      </w:r>
      <w:r w:rsidR="00017241">
        <w:rPr>
          <w:lang w:val="en-GB"/>
        </w:rPr>
        <w:t xml:space="preserve">the </w:t>
      </w:r>
      <w:r w:rsidRPr="000E7542">
        <w:rPr>
          <w:lang w:val="en-GB"/>
        </w:rPr>
        <w:t>benefits of the exiting employer’s current and former employees</w:t>
      </w:r>
      <w:r w:rsidR="00017241">
        <w:rPr>
          <w:lang w:val="en-GB"/>
        </w:rPr>
        <w:t>,</w:t>
      </w:r>
      <w:r>
        <w:rPr>
          <w:lang w:val="en-GB"/>
        </w:rPr>
        <w:t xml:space="preserve"> along with a termination contribution</w:t>
      </w:r>
      <w:r w:rsidRPr="000E7542">
        <w:rPr>
          <w:lang w:val="en-GB"/>
        </w:rPr>
        <w:t xml:space="preserve"> certificate.</w:t>
      </w:r>
    </w:p>
    <w:p w14:paraId="2D062797" w14:textId="73F33975" w:rsidR="000E7542" w:rsidRPr="00E639CB" w:rsidRDefault="00112B33" w:rsidP="000E7542">
      <w:pPr>
        <w:pStyle w:val="DocumentText"/>
        <w:rPr>
          <w:lang w:val="en-GB"/>
        </w:rPr>
      </w:pPr>
      <w:r>
        <w:rPr>
          <w:lang w:val="en-GB"/>
        </w:rPr>
        <w:t xml:space="preserve">Where there is no guarantor who would subsume the liabilities of the exiting employer, </w:t>
      </w:r>
      <w:r w:rsidR="00EC0BFC">
        <w:rPr>
          <w:lang w:val="en-GB"/>
        </w:rPr>
        <w:t xml:space="preserve">and the employer was admitted into the Fund after 19 November 2009, </w:t>
      </w:r>
      <w:r>
        <w:rPr>
          <w:lang w:val="en-GB"/>
        </w:rPr>
        <w:t xml:space="preserve">the </w:t>
      </w:r>
      <w:r w:rsidR="00177D13">
        <w:rPr>
          <w:rFonts w:cs="Arial"/>
        </w:rPr>
        <w:t>Fund</w:t>
      </w:r>
      <w:r>
        <w:rPr>
          <w:lang w:val="en-GB"/>
        </w:rPr>
        <w:t xml:space="preserve">’s policy is that a discount rate linked to </w:t>
      </w:r>
      <w:r w:rsidR="002408EB" w:rsidRPr="00EC0BFC">
        <w:rPr>
          <w:lang w:val="en-GB"/>
        </w:rPr>
        <w:t>government</w:t>
      </w:r>
      <w:r w:rsidRPr="00EC0BFC">
        <w:rPr>
          <w:lang w:val="en-GB"/>
        </w:rPr>
        <w:t xml:space="preserve"> b</w:t>
      </w:r>
      <w:r w:rsidR="000E7542">
        <w:rPr>
          <w:lang w:val="en-GB"/>
        </w:rPr>
        <w:t xml:space="preserve">ond </w:t>
      </w:r>
      <w:r>
        <w:rPr>
          <w:lang w:val="en-GB"/>
        </w:rPr>
        <w:t>yields</w:t>
      </w:r>
      <w:r w:rsidR="000E7542">
        <w:rPr>
          <w:lang w:val="en-GB"/>
        </w:rPr>
        <w:t xml:space="preserve"> is used for assessing liabilities on termination. Any exit payments due should be </w:t>
      </w:r>
      <w:r w:rsidR="00A67EE3">
        <w:rPr>
          <w:lang w:val="en-GB"/>
        </w:rPr>
        <w:t xml:space="preserve">within 30 days, </w:t>
      </w:r>
      <w:r w:rsidR="000E7542">
        <w:rPr>
          <w:lang w:val="en-GB"/>
        </w:rPr>
        <w:t xml:space="preserve">although instalment plans </w:t>
      </w:r>
      <w:r w:rsidR="00A67EE3">
        <w:rPr>
          <w:lang w:val="en-GB"/>
        </w:rPr>
        <w:t xml:space="preserve">may </w:t>
      </w:r>
      <w:r w:rsidR="000E7542">
        <w:rPr>
          <w:lang w:val="en-GB"/>
        </w:rPr>
        <w:t>be considered by the Administering Authority on a case by case basis.</w:t>
      </w:r>
      <w:r>
        <w:rPr>
          <w:lang w:val="en-GB"/>
        </w:rPr>
        <w:t xml:space="preserve">  The Administering Authority also reserves the right to modify this approach on a case by case basis if circumstances warrant it.</w:t>
      </w:r>
    </w:p>
    <w:p w14:paraId="5704AE19" w14:textId="77777777" w:rsidR="00EE7B66" w:rsidRPr="00E41225" w:rsidRDefault="00EE7B66" w:rsidP="00EE7B66">
      <w:pPr>
        <w:pStyle w:val="Heading20"/>
        <w:numPr>
          <w:ilvl w:val="0"/>
          <w:numId w:val="17"/>
        </w:numPr>
        <w:rPr>
          <w:lang w:val="en-GB"/>
        </w:rPr>
      </w:pPr>
      <w:r w:rsidRPr="00E41225">
        <w:rPr>
          <w:lang w:val="en-GB"/>
        </w:rPr>
        <w:t>Insurance arrangements</w:t>
      </w:r>
    </w:p>
    <w:p w14:paraId="6997E878" w14:textId="1991FF1C" w:rsidR="00EE7B66" w:rsidRDefault="00EE7B66" w:rsidP="00EE7B66">
      <w:pPr>
        <w:pStyle w:val="DocumentText"/>
        <w:rPr>
          <w:lang w:val="en-GB"/>
        </w:rPr>
      </w:pPr>
      <w:r>
        <w:rPr>
          <w:lang w:val="en-GB"/>
        </w:rPr>
        <w:t xml:space="preserve">For certain employers, the Fund will insure ill health retirement costs via an internal captive insurance arrangement which pools these risks for eligible employers.  The captive arrangement will be operated as per the objectives set out in </w:t>
      </w:r>
      <w:r w:rsidRPr="00604E7A">
        <w:rPr>
          <w:b/>
          <w:lang w:val="en-GB"/>
        </w:rPr>
        <w:t xml:space="preserve">Appendix </w:t>
      </w:r>
      <w:r>
        <w:rPr>
          <w:b/>
          <w:lang w:val="en-GB"/>
        </w:rPr>
        <w:t>C</w:t>
      </w:r>
      <w:r>
        <w:rPr>
          <w:lang w:val="en-GB"/>
        </w:rPr>
        <w:t>.</w:t>
      </w:r>
    </w:p>
    <w:p w14:paraId="5E0C5506" w14:textId="77777777" w:rsidR="00EE7B66" w:rsidRDefault="00EE7B66" w:rsidP="0096232E">
      <w:pPr>
        <w:rPr>
          <w:lang w:val="en-GB"/>
        </w:rPr>
        <w:sectPr w:rsidR="00EE7B66" w:rsidSect="004067BC">
          <w:headerReference w:type="default" r:id="rId14"/>
          <w:footerReference w:type="default" r:id="rId15"/>
          <w:pgSz w:w="11907" w:h="16839" w:code="9"/>
          <w:pgMar w:top="1134" w:right="1134" w:bottom="1134" w:left="1134" w:header="709" w:footer="709" w:gutter="0"/>
          <w:pgNumType w:fmt="lowerRoman" w:start="1"/>
          <w:cols w:space="720"/>
          <w:docGrid w:linePitch="360"/>
        </w:sectPr>
      </w:pPr>
    </w:p>
    <w:p w14:paraId="0C3B93F1" w14:textId="77777777" w:rsidR="0096232E" w:rsidRDefault="0096232E" w:rsidP="0096232E">
      <w:pPr>
        <w:pStyle w:val="DocumentTOCHeading"/>
        <w:rPr>
          <w:rFonts w:ascii="Arial Bold" w:hAnsi="Arial Bold"/>
          <w:caps/>
          <w:smallCaps w:val="0"/>
          <w:lang w:val="en-GB"/>
        </w:rPr>
      </w:pPr>
      <w:r w:rsidRPr="0096232E">
        <w:rPr>
          <w:rFonts w:ascii="Arial Bold" w:hAnsi="Arial Bold"/>
          <w:caps/>
          <w:smallCaps w:val="0"/>
          <w:lang w:val="en-GB"/>
        </w:rPr>
        <w:t>Contents</w:t>
      </w:r>
    </w:p>
    <w:p w14:paraId="70399EEB" w14:textId="77777777" w:rsidR="0097232E" w:rsidRDefault="006F6F16">
      <w:pPr>
        <w:pStyle w:val="TOC1"/>
        <w:rPr>
          <w:rFonts w:asciiTheme="minorHAnsi" w:eastAsiaTheme="minorEastAsia" w:hAnsiTheme="minorHAnsi" w:cstheme="minorBidi"/>
          <w:b w:val="0"/>
          <w:noProof/>
          <w:color w:val="auto"/>
          <w:szCs w:val="22"/>
          <w:lang w:val="en-GB" w:eastAsia="en-GB"/>
        </w:rPr>
      </w:pPr>
      <w:r>
        <w:rPr>
          <w:lang w:val="en-GB"/>
        </w:rPr>
        <w:fldChar w:fldCharType="begin"/>
      </w:r>
      <w:r>
        <w:rPr>
          <w:lang w:val="en-GB"/>
        </w:rPr>
        <w:instrText xml:space="preserve"> TOC \h \z \t "*Section Heading,1" </w:instrText>
      </w:r>
      <w:r>
        <w:rPr>
          <w:lang w:val="en-GB"/>
        </w:rPr>
        <w:fldChar w:fldCharType="separate"/>
      </w:r>
      <w:hyperlink w:anchor="_Toc453168460" w:history="1">
        <w:r w:rsidR="0097232E" w:rsidRPr="003D4359">
          <w:rPr>
            <w:rStyle w:val="Hyperlink"/>
            <w:noProof/>
          </w:rPr>
          <w:t>Executive Summary</w:t>
        </w:r>
        <w:r w:rsidR="0097232E">
          <w:rPr>
            <w:noProof/>
            <w:webHidden/>
          </w:rPr>
          <w:tab/>
        </w:r>
        <w:r w:rsidR="0097232E">
          <w:rPr>
            <w:noProof/>
            <w:webHidden/>
          </w:rPr>
          <w:fldChar w:fldCharType="begin"/>
        </w:r>
        <w:r w:rsidR="0097232E">
          <w:rPr>
            <w:noProof/>
            <w:webHidden/>
          </w:rPr>
          <w:instrText xml:space="preserve"> PAGEREF _Toc453168460 \h </w:instrText>
        </w:r>
        <w:r w:rsidR="0097232E">
          <w:rPr>
            <w:noProof/>
            <w:webHidden/>
          </w:rPr>
        </w:r>
        <w:r w:rsidR="0097232E">
          <w:rPr>
            <w:noProof/>
            <w:webHidden/>
          </w:rPr>
          <w:fldChar w:fldCharType="separate"/>
        </w:r>
        <w:r w:rsidR="0096415D">
          <w:rPr>
            <w:noProof/>
            <w:webHidden/>
          </w:rPr>
          <w:t>i</w:t>
        </w:r>
        <w:r w:rsidR="0097232E">
          <w:rPr>
            <w:noProof/>
            <w:webHidden/>
          </w:rPr>
          <w:fldChar w:fldCharType="end"/>
        </w:r>
      </w:hyperlink>
    </w:p>
    <w:p w14:paraId="6D92884B" w14:textId="77777777" w:rsidR="0097232E" w:rsidRDefault="00EF58EE">
      <w:pPr>
        <w:pStyle w:val="TOC1"/>
        <w:rPr>
          <w:rFonts w:asciiTheme="minorHAnsi" w:eastAsiaTheme="minorEastAsia" w:hAnsiTheme="minorHAnsi" w:cstheme="minorBidi"/>
          <w:b w:val="0"/>
          <w:noProof/>
          <w:color w:val="auto"/>
          <w:szCs w:val="22"/>
          <w:lang w:val="en-GB" w:eastAsia="en-GB"/>
        </w:rPr>
      </w:pPr>
      <w:hyperlink w:anchor="_Toc453168461" w:history="1">
        <w:r w:rsidR="0097232E" w:rsidRPr="003D4359">
          <w:rPr>
            <w:rStyle w:val="Hyperlink"/>
            <w:noProof/>
          </w:rPr>
          <w:t>Introduction</w:t>
        </w:r>
        <w:r w:rsidR="0097232E">
          <w:rPr>
            <w:noProof/>
            <w:webHidden/>
          </w:rPr>
          <w:tab/>
        </w:r>
        <w:r w:rsidR="0097232E">
          <w:rPr>
            <w:noProof/>
            <w:webHidden/>
          </w:rPr>
          <w:fldChar w:fldCharType="begin"/>
        </w:r>
        <w:r w:rsidR="0097232E">
          <w:rPr>
            <w:noProof/>
            <w:webHidden/>
          </w:rPr>
          <w:instrText xml:space="preserve"> PAGEREF _Toc453168461 \h </w:instrText>
        </w:r>
        <w:r w:rsidR="0097232E">
          <w:rPr>
            <w:noProof/>
            <w:webHidden/>
          </w:rPr>
        </w:r>
        <w:r w:rsidR="0097232E">
          <w:rPr>
            <w:noProof/>
            <w:webHidden/>
          </w:rPr>
          <w:fldChar w:fldCharType="separate"/>
        </w:r>
        <w:r w:rsidR="0096415D">
          <w:rPr>
            <w:noProof/>
            <w:webHidden/>
          </w:rPr>
          <w:t>6</w:t>
        </w:r>
        <w:r w:rsidR="0097232E">
          <w:rPr>
            <w:noProof/>
            <w:webHidden/>
          </w:rPr>
          <w:fldChar w:fldCharType="end"/>
        </w:r>
      </w:hyperlink>
    </w:p>
    <w:p w14:paraId="298386E1" w14:textId="77777777" w:rsidR="0097232E" w:rsidRDefault="00EF58EE">
      <w:pPr>
        <w:pStyle w:val="TOC1"/>
        <w:rPr>
          <w:rFonts w:asciiTheme="minorHAnsi" w:eastAsiaTheme="minorEastAsia" w:hAnsiTheme="minorHAnsi" w:cstheme="minorBidi"/>
          <w:b w:val="0"/>
          <w:noProof/>
          <w:color w:val="auto"/>
          <w:szCs w:val="22"/>
          <w:lang w:val="en-GB" w:eastAsia="en-GB"/>
        </w:rPr>
      </w:pPr>
      <w:hyperlink w:anchor="_Toc453168462" w:history="1">
        <w:r w:rsidR="0097232E" w:rsidRPr="003D4359">
          <w:rPr>
            <w:rStyle w:val="Hyperlink"/>
            <w:noProof/>
            <w:lang w:val="en-GB"/>
          </w:rPr>
          <w:t>Purpose of FSS in policy terms</w:t>
        </w:r>
        <w:r w:rsidR="0097232E">
          <w:rPr>
            <w:noProof/>
            <w:webHidden/>
          </w:rPr>
          <w:tab/>
        </w:r>
        <w:r w:rsidR="0097232E">
          <w:rPr>
            <w:noProof/>
            <w:webHidden/>
          </w:rPr>
          <w:fldChar w:fldCharType="begin"/>
        </w:r>
        <w:r w:rsidR="0097232E">
          <w:rPr>
            <w:noProof/>
            <w:webHidden/>
          </w:rPr>
          <w:instrText xml:space="preserve"> PAGEREF _Toc453168462 \h </w:instrText>
        </w:r>
        <w:r w:rsidR="0097232E">
          <w:rPr>
            <w:noProof/>
            <w:webHidden/>
          </w:rPr>
        </w:r>
        <w:r w:rsidR="0097232E">
          <w:rPr>
            <w:noProof/>
            <w:webHidden/>
          </w:rPr>
          <w:fldChar w:fldCharType="separate"/>
        </w:r>
        <w:r w:rsidR="0096415D">
          <w:rPr>
            <w:noProof/>
            <w:webHidden/>
          </w:rPr>
          <w:t>8</w:t>
        </w:r>
        <w:r w:rsidR="0097232E">
          <w:rPr>
            <w:noProof/>
            <w:webHidden/>
          </w:rPr>
          <w:fldChar w:fldCharType="end"/>
        </w:r>
      </w:hyperlink>
    </w:p>
    <w:p w14:paraId="35DA334A" w14:textId="3CE1B6F5" w:rsidR="0097232E" w:rsidRDefault="00EF58EE">
      <w:pPr>
        <w:pStyle w:val="TOC1"/>
        <w:rPr>
          <w:rFonts w:asciiTheme="minorHAnsi" w:eastAsiaTheme="minorEastAsia" w:hAnsiTheme="minorHAnsi" w:cstheme="minorBidi"/>
          <w:b w:val="0"/>
          <w:noProof/>
          <w:color w:val="auto"/>
          <w:szCs w:val="22"/>
          <w:lang w:val="en-GB" w:eastAsia="en-GB"/>
        </w:rPr>
      </w:pPr>
      <w:hyperlink w:anchor="_Toc453168463" w:history="1">
        <w:r w:rsidR="0097232E" w:rsidRPr="003D4359">
          <w:rPr>
            <w:rStyle w:val="Hyperlink"/>
            <w:noProof/>
            <w:lang w:val="en-GB"/>
          </w:rPr>
          <w:t xml:space="preserve">Aims and purpose of the </w:t>
        </w:r>
        <w:r w:rsidR="006916F9">
          <w:rPr>
            <w:rStyle w:val="Hyperlink"/>
            <w:noProof/>
            <w:lang w:val="en-GB"/>
          </w:rPr>
          <w:t>Fund</w:t>
        </w:r>
        <w:r w:rsidR="0097232E">
          <w:rPr>
            <w:noProof/>
            <w:webHidden/>
          </w:rPr>
          <w:tab/>
        </w:r>
        <w:r w:rsidR="0097232E">
          <w:rPr>
            <w:noProof/>
            <w:webHidden/>
          </w:rPr>
          <w:fldChar w:fldCharType="begin"/>
        </w:r>
        <w:r w:rsidR="0097232E">
          <w:rPr>
            <w:noProof/>
            <w:webHidden/>
          </w:rPr>
          <w:instrText xml:space="preserve"> PAGEREF _Toc453168463 \h </w:instrText>
        </w:r>
        <w:r w:rsidR="0097232E">
          <w:rPr>
            <w:noProof/>
            <w:webHidden/>
          </w:rPr>
        </w:r>
        <w:r w:rsidR="0097232E">
          <w:rPr>
            <w:noProof/>
            <w:webHidden/>
          </w:rPr>
          <w:fldChar w:fldCharType="separate"/>
        </w:r>
        <w:r w:rsidR="0096415D">
          <w:rPr>
            <w:noProof/>
            <w:webHidden/>
          </w:rPr>
          <w:t>9</w:t>
        </w:r>
        <w:r w:rsidR="0097232E">
          <w:rPr>
            <w:noProof/>
            <w:webHidden/>
          </w:rPr>
          <w:fldChar w:fldCharType="end"/>
        </w:r>
      </w:hyperlink>
    </w:p>
    <w:p w14:paraId="0EEE77A6" w14:textId="77777777" w:rsidR="0097232E" w:rsidRDefault="00EF58EE">
      <w:pPr>
        <w:pStyle w:val="TOC1"/>
        <w:rPr>
          <w:rFonts w:asciiTheme="minorHAnsi" w:eastAsiaTheme="minorEastAsia" w:hAnsiTheme="minorHAnsi" w:cstheme="minorBidi"/>
          <w:b w:val="0"/>
          <w:noProof/>
          <w:color w:val="auto"/>
          <w:szCs w:val="22"/>
          <w:lang w:val="en-GB" w:eastAsia="en-GB"/>
        </w:rPr>
      </w:pPr>
      <w:hyperlink w:anchor="_Toc453168464" w:history="1">
        <w:r w:rsidR="0097232E" w:rsidRPr="003D4359">
          <w:rPr>
            <w:rStyle w:val="Hyperlink"/>
            <w:noProof/>
          </w:rPr>
          <w:t>Responsibilities of the key parties</w:t>
        </w:r>
        <w:r w:rsidR="0097232E">
          <w:rPr>
            <w:noProof/>
            <w:webHidden/>
          </w:rPr>
          <w:tab/>
        </w:r>
        <w:r w:rsidR="0097232E">
          <w:rPr>
            <w:noProof/>
            <w:webHidden/>
          </w:rPr>
          <w:fldChar w:fldCharType="begin"/>
        </w:r>
        <w:r w:rsidR="0097232E">
          <w:rPr>
            <w:noProof/>
            <w:webHidden/>
          </w:rPr>
          <w:instrText xml:space="preserve"> PAGEREF _Toc453168464 \h </w:instrText>
        </w:r>
        <w:r w:rsidR="0097232E">
          <w:rPr>
            <w:noProof/>
            <w:webHidden/>
          </w:rPr>
        </w:r>
        <w:r w:rsidR="0097232E">
          <w:rPr>
            <w:noProof/>
            <w:webHidden/>
          </w:rPr>
          <w:fldChar w:fldCharType="separate"/>
        </w:r>
        <w:r w:rsidR="0096415D">
          <w:rPr>
            <w:noProof/>
            <w:webHidden/>
          </w:rPr>
          <w:t>10</w:t>
        </w:r>
        <w:r w:rsidR="0097232E">
          <w:rPr>
            <w:noProof/>
            <w:webHidden/>
          </w:rPr>
          <w:fldChar w:fldCharType="end"/>
        </w:r>
      </w:hyperlink>
    </w:p>
    <w:p w14:paraId="6D70E601" w14:textId="77777777" w:rsidR="0097232E" w:rsidRDefault="00EF58EE">
      <w:pPr>
        <w:pStyle w:val="TOC1"/>
        <w:rPr>
          <w:rFonts w:asciiTheme="minorHAnsi" w:eastAsiaTheme="minorEastAsia" w:hAnsiTheme="minorHAnsi" w:cstheme="minorBidi"/>
          <w:b w:val="0"/>
          <w:noProof/>
          <w:color w:val="auto"/>
          <w:szCs w:val="22"/>
          <w:lang w:val="en-GB" w:eastAsia="en-GB"/>
        </w:rPr>
      </w:pPr>
      <w:hyperlink w:anchor="_Toc453168465" w:history="1">
        <w:r w:rsidR="0097232E" w:rsidRPr="003D4359">
          <w:rPr>
            <w:rStyle w:val="Hyperlink"/>
            <w:noProof/>
          </w:rPr>
          <w:t>Solvency funding target</w:t>
        </w:r>
        <w:r w:rsidR="0097232E">
          <w:rPr>
            <w:noProof/>
            <w:webHidden/>
          </w:rPr>
          <w:tab/>
        </w:r>
        <w:r w:rsidR="0097232E">
          <w:rPr>
            <w:noProof/>
            <w:webHidden/>
          </w:rPr>
          <w:fldChar w:fldCharType="begin"/>
        </w:r>
        <w:r w:rsidR="0097232E">
          <w:rPr>
            <w:noProof/>
            <w:webHidden/>
          </w:rPr>
          <w:instrText xml:space="preserve"> PAGEREF _Toc453168465 \h </w:instrText>
        </w:r>
        <w:r w:rsidR="0097232E">
          <w:rPr>
            <w:noProof/>
            <w:webHidden/>
          </w:rPr>
        </w:r>
        <w:r w:rsidR="0097232E">
          <w:rPr>
            <w:noProof/>
            <w:webHidden/>
          </w:rPr>
          <w:fldChar w:fldCharType="separate"/>
        </w:r>
        <w:r w:rsidR="0096415D">
          <w:rPr>
            <w:noProof/>
            <w:webHidden/>
          </w:rPr>
          <w:t>12</w:t>
        </w:r>
        <w:r w:rsidR="0097232E">
          <w:rPr>
            <w:noProof/>
            <w:webHidden/>
          </w:rPr>
          <w:fldChar w:fldCharType="end"/>
        </w:r>
      </w:hyperlink>
    </w:p>
    <w:p w14:paraId="1F34B83D" w14:textId="12F33F94" w:rsidR="0097232E" w:rsidRDefault="00EF58EE">
      <w:pPr>
        <w:pStyle w:val="TOC1"/>
        <w:rPr>
          <w:rFonts w:asciiTheme="minorHAnsi" w:eastAsiaTheme="minorEastAsia" w:hAnsiTheme="minorHAnsi" w:cstheme="minorBidi"/>
          <w:b w:val="0"/>
          <w:noProof/>
          <w:color w:val="auto"/>
          <w:szCs w:val="22"/>
          <w:lang w:val="en-GB" w:eastAsia="en-GB"/>
        </w:rPr>
      </w:pPr>
      <w:hyperlink w:anchor="_Toc453168466" w:history="1">
        <w:r w:rsidR="0097232E" w:rsidRPr="003D4359">
          <w:rPr>
            <w:rStyle w:val="Hyperlink"/>
            <w:noProof/>
          </w:rPr>
          <w:t>Link to investment policy and the Investment strategy statement (ISS)</w:t>
        </w:r>
        <w:r w:rsidR="0097232E">
          <w:rPr>
            <w:noProof/>
            <w:webHidden/>
          </w:rPr>
          <w:tab/>
        </w:r>
        <w:r w:rsidR="0097232E">
          <w:rPr>
            <w:noProof/>
            <w:webHidden/>
          </w:rPr>
          <w:fldChar w:fldCharType="begin"/>
        </w:r>
        <w:r w:rsidR="0097232E">
          <w:rPr>
            <w:noProof/>
            <w:webHidden/>
          </w:rPr>
          <w:instrText xml:space="preserve"> PAGEREF _Toc453168466 \h </w:instrText>
        </w:r>
        <w:r w:rsidR="0097232E">
          <w:rPr>
            <w:noProof/>
            <w:webHidden/>
          </w:rPr>
        </w:r>
        <w:r w:rsidR="0097232E">
          <w:rPr>
            <w:noProof/>
            <w:webHidden/>
          </w:rPr>
          <w:fldChar w:fldCharType="separate"/>
        </w:r>
        <w:r w:rsidR="0096415D">
          <w:rPr>
            <w:noProof/>
            <w:webHidden/>
          </w:rPr>
          <w:t>15</w:t>
        </w:r>
        <w:r w:rsidR="0097232E">
          <w:rPr>
            <w:noProof/>
            <w:webHidden/>
          </w:rPr>
          <w:fldChar w:fldCharType="end"/>
        </w:r>
      </w:hyperlink>
    </w:p>
    <w:p w14:paraId="448CCA03" w14:textId="18DABC74" w:rsidR="0097232E" w:rsidRDefault="00EF58EE">
      <w:pPr>
        <w:pStyle w:val="TOC1"/>
        <w:rPr>
          <w:rFonts w:asciiTheme="minorHAnsi" w:eastAsiaTheme="minorEastAsia" w:hAnsiTheme="minorHAnsi" w:cstheme="minorBidi"/>
          <w:b w:val="0"/>
          <w:noProof/>
          <w:color w:val="auto"/>
          <w:szCs w:val="22"/>
          <w:lang w:val="en-GB" w:eastAsia="en-GB"/>
        </w:rPr>
      </w:pPr>
      <w:hyperlink w:anchor="_Toc453168467" w:history="1">
        <w:r w:rsidR="0097232E" w:rsidRPr="003D4359">
          <w:rPr>
            <w:rStyle w:val="Hyperlink"/>
            <w:noProof/>
          </w:rPr>
          <w:t>Identification of risks and counter-measures</w:t>
        </w:r>
        <w:r w:rsidR="0097232E">
          <w:rPr>
            <w:noProof/>
            <w:webHidden/>
          </w:rPr>
          <w:tab/>
        </w:r>
        <w:r w:rsidR="0097232E">
          <w:rPr>
            <w:noProof/>
            <w:webHidden/>
          </w:rPr>
          <w:fldChar w:fldCharType="begin"/>
        </w:r>
        <w:r w:rsidR="0097232E">
          <w:rPr>
            <w:noProof/>
            <w:webHidden/>
          </w:rPr>
          <w:instrText xml:space="preserve"> PAGEREF _Toc453168467 \h </w:instrText>
        </w:r>
        <w:r w:rsidR="0097232E">
          <w:rPr>
            <w:noProof/>
            <w:webHidden/>
          </w:rPr>
        </w:r>
        <w:r w:rsidR="0097232E">
          <w:rPr>
            <w:noProof/>
            <w:webHidden/>
          </w:rPr>
          <w:fldChar w:fldCharType="separate"/>
        </w:r>
        <w:r w:rsidR="0096415D">
          <w:rPr>
            <w:noProof/>
            <w:webHidden/>
          </w:rPr>
          <w:t>17</w:t>
        </w:r>
        <w:r w:rsidR="0097232E">
          <w:rPr>
            <w:noProof/>
            <w:webHidden/>
          </w:rPr>
          <w:fldChar w:fldCharType="end"/>
        </w:r>
      </w:hyperlink>
    </w:p>
    <w:p w14:paraId="682EA45D" w14:textId="1A7C5DA6" w:rsidR="0097232E" w:rsidRDefault="00EF58EE">
      <w:pPr>
        <w:pStyle w:val="TOC1"/>
        <w:rPr>
          <w:rFonts w:asciiTheme="minorHAnsi" w:eastAsiaTheme="minorEastAsia" w:hAnsiTheme="minorHAnsi" w:cstheme="minorBidi"/>
          <w:b w:val="0"/>
          <w:noProof/>
          <w:color w:val="auto"/>
          <w:szCs w:val="22"/>
          <w:lang w:val="en-GB" w:eastAsia="en-GB"/>
        </w:rPr>
      </w:pPr>
      <w:hyperlink w:anchor="_Toc453168468" w:history="1">
        <w:r w:rsidR="0097232E" w:rsidRPr="003D4359">
          <w:rPr>
            <w:rStyle w:val="Hyperlink"/>
            <w:noProof/>
          </w:rPr>
          <w:t>Monitoring and review</w:t>
        </w:r>
        <w:r w:rsidR="0097232E">
          <w:rPr>
            <w:noProof/>
            <w:webHidden/>
          </w:rPr>
          <w:tab/>
        </w:r>
        <w:r w:rsidR="0097232E">
          <w:rPr>
            <w:noProof/>
            <w:webHidden/>
          </w:rPr>
          <w:fldChar w:fldCharType="begin"/>
        </w:r>
        <w:r w:rsidR="0097232E">
          <w:rPr>
            <w:noProof/>
            <w:webHidden/>
          </w:rPr>
          <w:instrText xml:space="preserve"> PAGEREF _Toc453168468 \h </w:instrText>
        </w:r>
        <w:r w:rsidR="0097232E">
          <w:rPr>
            <w:noProof/>
            <w:webHidden/>
          </w:rPr>
        </w:r>
        <w:r w:rsidR="0097232E">
          <w:rPr>
            <w:noProof/>
            <w:webHidden/>
          </w:rPr>
          <w:fldChar w:fldCharType="separate"/>
        </w:r>
        <w:r w:rsidR="0096415D">
          <w:rPr>
            <w:noProof/>
            <w:webHidden/>
          </w:rPr>
          <w:t>19</w:t>
        </w:r>
        <w:r w:rsidR="0097232E">
          <w:rPr>
            <w:noProof/>
            <w:webHidden/>
          </w:rPr>
          <w:fldChar w:fldCharType="end"/>
        </w:r>
      </w:hyperlink>
    </w:p>
    <w:p w14:paraId="0C3B93F7" w14:textId="07558410" w:rsidR="0096232E" w:rsidRDefault="006F6F16" w:rsidP="0096232E">
      <w:pPr>
        <w:pStyle w:val="DocumentText"/>
        <w:rPr>
          <w:lang w:val="en-GB"/>
        </w:rPr>
      </w:pPr>
      <w:r>
        <w:rPr>
          <w:szCs w:val="20"/>
          <w:lang w:val="en-GB"/>
        </w:rPr>
        <w:fldChar w:fldCharType="end"/>
      </w:r>
    </w:p>
    <w:p w14:paraId="1DABF082" w14:textId="4DAC6DCA" w:rsidR="00393824" w:rsidRDefault="00393824" w:rsidP="0008605C">
      <w:pPr>
        <w:pStyle w:val="DocumentTOCHeading"/>
        <w:tabs>
          <w:tab w:val="left" w:pos="4339"/>
        </w:tabs>
        <w:rPr>
          <w:lang w:val="en-GB"/>
        </w:rPr>
      </w:pPr>
      <w:r w:rsidRPr="00C235C1">
        <w:rPr>
          <w:rFonts w:ascii="Arial Bold" w:hAnsi="Arial Bold"/>
          <w:caps/>
          <w:smallCaps w:val="0"/>
          <w:lang w:val="en-GB"/>
        </w:rPr>
        <w:t>APPENDICES</w:t>
      </w:r>
      <w:r w:rsidR="0008605C">
        <w:rPr>
          <w:rFonts w:ascii="Arial Bold" w:hAnsi="Arial Bold"/>
          <w:caps/>
          <w:smallCaps w:val="0"/>
          <w:lang w:val="en-GB"/>
        </w:rPr>
        <w:tab/>
      </w:r>
    </w:p>
    <w:p w14:paraId="08381870" w14:textId="38D3CBD9" w:rsidR="00393824" w:rsidRDefault="00393824" w:rsidP="00C235C1">
      <w:pPr>
        <w:pStyle w:val="TOC1"/>
        <w:rPr>
          <w:lang w:val="en-GB"/>
        </w:rPr>
      </w:pPr>
      <w:r>
        <w:rPr>
          <w:lang w:val="en-GB"/>
        </w:rPr>
        <w:t xml:space="preserve">A - ACTUARIAL METHOD AND ASSUMPTIONS </w:t>
      </w:r>
    </w:p>
    <w:p w14:paraId="5E5AED78" w14:textId="5C9FE657" w:rsidR="00393824" w:rsidRDefault="00393824" w:rsidP="00C235C1">
      <w:pPr>
        <w:pStyle w:val="TOC1"/>
        <w:rPr>
          <w:lang w:val="en-GB"/>
        </w:rPr>
      </w:pPr>
      <w:r>
        <w:rPr>
          <w:lang w:val="en-GB"/>
        </w:rPr>
        <w:t xml:space="preserve">B </w:t>
      </w:r>
      <w:r w:rsidR="001362F6">
        <w:rPr>
          <w:lang w:val="en-GB"/>
        </w:rPr>
        <w:t>-</w:t>
      </w:r>
      <w:r>
        <w:rPr>
          <w:lang w:val="en-GB"/>
        </w:rPr>
        <w:t xml:space="preserve"> </w:t>
      </w:r>
      <w:r w:rsidR="001362F6">
        <w:rPr>
          <w:lang w:val="en-GB"/>
        </w:rPr>
        <w:t xml:space="preserve">EMPLOYER </w:t>
      </w:r>
      <w:r>
        <w:rPr>
          <w:lang w:val="en-GB"/>
        </w:rPr>
        <w:t>DEFICIT RECOVERY PLANS</w:t>
      </w:r>
    </w:p>
    <w:p w14:paraId="07018930" w14:textId="45EF9328" w:rsidR="00C235C1" w:rsidRDefault="0099195B" w:rsidP="00C235C1">
      <w:pPr>
        <w:pStyle w:val="TOC1"/>
        <w:rPr>
          <w:lang w:val="en-GB"/>
        </w:rPr>
      </w:pPr>
      <w:r>
        <w:rPr>
          <w:lang w:val="en-GB"/>
        </w:rPr>
        <w:t>C -</w:t>
      </w:r>
      <w:r w:rsidR="00C235C1">
        <w:rPr>
          <w:lang w:val="en-GB"/>
        </w:rPr>
        <w:t xml:space="preserve"> </w:t>
      </w:r>
      <w:r>
        <w:rPr>
          <w:lang w:val="en-GB"/>
        </w:rPr>
        <w:t>ILL-HEALTH CAPTIVE FOR SMALL EMPLOYERS</w:t>
      </w:r>
    </w:p>
    <w:p w14:paraId="5B017929" w14:textId="12ED2E11" w:rsidR="00050371" w:rsidRDefault="0099195B" w:rsidP="00C235C1">
      <w:pPr>
        <w:pStyle w:val="TOC1"/>
        <w:rPr>
          <w:lang w:val="en-GB"/>
        </w:rPr>
      </w:pPr>
      <w:r>
        <w:rPr>
          <w:lang w:val="en-GB"/>
        </w:rPr>
        <w:t xml:space="preserve">D </w:t>
      </w:r>
      <w:r w:rsidR="00F341EC">
        <w:rPr>
          <w:lang w:val="en-GB"/>
        </w:rPr>
        <w:t>-</w:t>
      </w:r>
      <w:r w:rsidR="00050371">
        <w:rPr>
          <w:lang w:val="en-GB"/>
        </w:rPr>
        <w:t xml:space="preserve"> GLOSSARY</w:t>
      </w:r>
      <w:r w:rsidR="008C4EA5">
        <w:rPr>
          <w:lang w:val="en-GB"/>
        </w:rPr>
        <w:t xml:space="preserve"> OF TERMS</w:t>
      </w:r>
    </w:p>
    <w:p w14:paraId="304028E9" w14:textId="0D52C12E" w:rsidR="00393824" w:rsidRDefault="00393824" w:rsidP="0096232E">
      <w:pPr>
        <w:pStyle w:val="DocumentText"/>
        <w:rPr>
          <w:lang w:val="en-GB"/>
        </w:rPr>
        <w:sectPr w:rsidR="00393824" w:rsidSect="004067BC">
          <w:headerReference w:type="default" r:id="rId16"/>
          <w:footerReference w:type="default" r:id="rId17"/>
          <w:pgSz w:w="11907" w:h="16839" w:code="9"/>
          <w:pgMar w:top="1134" w:right="1134" w:bottom="1134" w:left="1134" w:header="709" w:footer="709" w:gutter="0"/>
          <w:cols w:space="720"/>
          <w:docGrid w:linePitch="360"/>
        </w:sectPr>
      </w:pPr>
      <w:r>
        <w:rPr>
          <w:lang w:val="en-GB"/>
        </w:rPr>
        <w:t xml:space="preserve"> </w:t>
      </w:r>
    </w:p>
    <w:p w14:paraId="6D9C72A7" w14:textId="0CE962D8" w:rsidR="00181529" w:rsidRDefault="00181529" w:rsidP="00181529">
      <w:pPr>
        <w:pStyle w:val="SectionNumber"/>
      </w:pPr>
      <w:r>
        <w:t>1</w:t>
      </w:r>
    </w:p>
    <w:p w14:paraId="0C3B93F9" w14:textId="25E7542D" w:rsidR="0096232E" w:rsidRDefault="0096232E" w:rsidP="00766F6C">
      <w:pPr>
        <w:pStyle w:val="SectionHeading"/>
      </w:pPr>
      <w:bookmarkStart w:id="2" w:name="_Toc453168461"/>
      <w:r>
        <w:t>Introduction</w:t>
      </w:r>
      <w:bookmarkEnd w:id="2"/>
    </w:p>
    <w:p w14:paraId="33F90612" w14:textId="6FB4CB9D" w:rsidR="002B07E4" w:rsidRPr="002B07E4" w:rsidRDefault="002B07E4" w:rsidP="002B07E4">
      <w:pPr>
        <w:pStyle w:val="DocumentText"/>
      </w:pPr>
      <w:r w:rsidRPr="002B07E4">
        <w:t xml:space="preserve">The Local Government Pension Scheme Regulations 2013  (as amended) (“the 2013 Regulations”) and the Local Government Pension Scheme (Transitional Provisions, Savings and Amendment) Regulations 2014 (“the 2014 Transitional Regulations”) (collectively; “the Regulations”) provide the statutory framework from which the Administering Authority is required to prepare a </w:t>
      </w:r>
      <w:r>
        <w:t>Funding Strategy Statement (</w:t>
      </w:r>
      <w:r w:rsidRPr="002B07E4">
        <w:t>FSS</w:t>
      </w:r>
      <w:r>
        <w:t>)</w:t>
      </w:r>
      <w:r w:rsidRPr="002B07E4">
        <w:t>. The key requirements for preparing the FSS can be summarised as follows:</w:t>
      </w:r>
    </w:p>
    <w:p w14:paraId="46C09EE7" w14:textId="44AE918D" w:rsidR="00EF6516" w:rsidRDefault="00181529" w:rsidP="002B07E4">
      <w:pPr>
        <w:pStyle w:val="Bullet1"/>
        <w:rPr>
          <w:lang w:val="en-GB"/>
        </w:rPr>
      </w:pPr>
      <w:r w:rsidRPr="00EF6516">
        <w:rPr>
          <w:lang w:val="en-GB"/>
        </w:rPr>
        <w:t xml:space="preserve">After consultation with all relevant interested parties involved with the </w:t>
      </w:r>
      <w:r w:rsidR="0096415D">
        <w:rPr>
          <w:lang w:val="en-GB"/>
        </w:rPr>
        <w:t>Lancashire County Pension Fund</w:t>
      </w:r>
      <w:r w:rsidR="00737560">
        <w:rPr>
          <w:lang w:val="en-GB"/>
        </w:rPr>
        <w:t xml:space="preserve"> (the “</w:t>
      </w:r>
      <w:r w:rsidR="00177D13">
        <w:rPr>
          <w:rFonts w:cs="Arial"/>
        </w:rPr>
        <w:t>Fund</w:t>
      </w:r>
      <w:r w:rsidR="00737560">
        <w:rPr>
          <w:lang w:val="en-GB"/>
        </w:rPr>
        <w:t>”),</w:t>
      </w:r>
      <w:r w:rsidRPr="00EF6516">
        <w:rPr>
          <w:lang w:val="en-GB"/>
        </w:rPr>
        <w:t xml:space="preserve"> the Administering Authority will prepare and publish their funding strategy;</w:t>
      </w:r>
    </w:p>
    <w:p w14:paraId="19DE5C05" w14:textId="77777777" w:rsidR="00EF6516" w:rsidRDefault="00181529" w:rsidP="00EF6516">
      <w:pPr>
        <w:pStyle w:val="Bullet1"/>
        <w:rPr>
          <w:lang w:val="en-GB"/>
        </w:rPr>
      </w:pPr>
      <w:r w:rsidRPr="00EF6516">
        <w:rPr>
          <w:lang w:val="en-GB"/>
        </w:rPr>
        <w:t>In preparing the FSS, the Administering</w:t>
      </w:r>
      <w:r w:rsidR="00EF6516">
        <w:rPr>
          <w:lang w:val="en-GB"/>
        </w:rPr>
        <w:t xml:space="preserve"> Authority must have regard to:</w:t>
      </w:r>
    </w:p>
    <w:p w14:paraId="6B776D3D" w14:textId="77777777" w:rsidR="00EF6516" w:rsidRDefault="00181529" w:rsidP="00EF6516">
      <w:pPr>
        <w:pStyle w:val="Bullet2"/>
        <w:rPr>
          <w:lang w:val="en-GB"/>
        </w:rPr>
      </w:pPr>
      <w:r w:rsidRPr="00EF6516">
        <w:rPr>
          <w:lang w:val="en-GB"/>
        </w:rPr>
        <w:t>the guidance issued by CIPFA for this purpose; and</w:t>
      </w:r>
    </w:p>
    <w:p w14:paraId="61D876E8" w14:textId="569F970B" w:rsidR="00EF6516" w:rsidRPr="00A908EF" w:rsidRDefault="00181529" w:rsidP="00EF6516">
      <w:pPr>
        <w:pStyle w:val="Bullet2"/>
        <w:rPr>
          <w:lang w:val="en-GB"/>
        </w:rPr>
      </w:pPr>
      <w:r w:rsidRPr="00EF6516">
        <w:rPr>
          <w:lang w:val="en-GB"/>
        </w:rPr>
        <w:t xml:space="preserve">the </w:t>
      </w:r>
      <w:r w:rsidR="00B27E4B">
        <w:rPr>
          <w:lang w:val="en-GB"/>
        </w:rPr>
        <w:t xml:space="preserve">Investment Strategy </w:t>
      </w:r>
      <w:r w:rsidR="00B27E4B" w:rsidRPr="00A908EF">
        <w:rPr>
          <w:lang w:val="en-GB"/>
        </w:rPr>
        <w:t>Statement</w:t>
      </w:r>
      <w:r w:rsidRPr="00A908EF">
        <w:rPr>
          <w:lang w:val="en-GB"/>
        </w:rPr>
        <w:t xml:space="preserve"> (</w:t>
      </w:r>
      <w:r w:rsidR="00FE53CD" w:rsidRPr="00A908EF">
        <w:rPr>
          <w:lang w:val="en-GB"/>
        </w:rPr>
        <w:t>I</w:t>
      </w:r>
      <w:r w:rsidR="00E36DB8" w:rsidRPr="00A908EF">
        <w:rPr>
          <w:lang w:val="en-GB"/>
        </w:rPr>
        <w:t>S</w:t>
      </w:r>
      <w:r w:rsidR="00B27E4B" w:rsidRPr="00A908EF">
        <w:rPr>
          <w:lang w:val="en-GB"/>
        </w:rPr>
        <w:t>S)</w:t>
      </w:r>
      <w:r w:rsidR="00216BE5">
        <w:rPr>
          <w:lang w:val="en-GB"/>
        </w:rPr>
        <w:t xml:space="preserve"> </w:t>
      </w:r>
      <w:r w:rsidRPr="00A908EF">
        <w:rPr>
          <w:lang w:val="en-GB"/>
        </w:rPr>
        <w:t xml:space="preserve">for the </w:t>
      </w:r>
      <w:r w:rsidR="00177D13">
        <w:rPr>
          <w:lang w:val="en-GB"/>
        </w:rPr>
        <w:t>Fund</w:t>
      </w:r>
      <w:r w:rsidRPr="00A908EF">
        <w:rPr>
          <w:lang w:val="en-GB"/>
        </w:rPr>
        <w:t xml:space="preserve"> published under Regulation 12 of the Local Government Pension Scheme (Management and Investment of Funds) Regulation</w:t>
      </w:r>
      <w:r w:rsidR="00B27E4B" w:rsidRPr="00A908EF">
        <w:rPr>
          <w:lang w:val="en-GB"/>
        </w:rPr>
        <w:t xml:space="preserve">s </w:t>
      </w:r>
      <w:r w:rsidR="00CE28F5" w:rsidRPr="00A908EF">
        <w:rPr>
          <w:lang w:val="en-GB"/>
        </w:rPr>
        <w:t>2016</w:t>
      </w:r>
      <w:r w:rsidR="002A5920">
        <w:rPr>
          <w:lang w:val="en-GB"/>
        </w:rPr>
        <w:t xml:space="preserve"> </w:t>
      </w:r>
      <w:r w:rsidRPr="00A908EF">
        <w:rPr>
          <w:lang w:val="en-GB"/>
        </w:rPr>
        <w:t>(as amended);</w:t>
      </w:r>
    </w:p>
    <w:p w14:paraId="3BC53A8F" w14:textId="637F27E6" w:rsidR="0005203B" w:rsidRDefault="00181529" w:rsidP="0005203B">
      <w:pPr>
        <w:pStyle w:val="Bullet1"/>
        <w:rPr>
          <w:lang w:val="en-GB"/>
        </w:rPr>
      </w:pPr>
      <w:r w:rsidRPr="00EF6516">
        <w:rPr>
          <w:lang w:val="en-GB"/>
        </w:rPr>
        <w:t xml:space="preserve">The FSS must be revised and published whenever there is a material change in either the policy set out in the FSS or the </w:t>
      </w:r>
      <w:r w:rsidR="00B27E4B">
        <w:rPr>
          <w:lang w:val="en-GB"/>
        </w:rPr>
        <w:t>ISS</w:t>
      </w:r>
      <w:r w:rsidRPr="00EF6516">
        <w:rPr>
          <w:lang w:val="en-GB"/>
        </w:rPr>
        <w:t>.</w:t>
      </w:r>
    </w:p>
    <w:p w14:paraId="5A4BC948" w14:textId="77777777" w:rsidR="0005203B" w:rsidRDefault="0005203B" w:rsidP="0005203B">
      <w:pPr>
        <w:pStyle w:val="Bullet1"/>
        <w:numPr>
          <w:ilvl w:val="0"/>
          <w:numId w:val="0"/>
        </w:numPr>
        <w:rPr>
          <w:lang w:val="en-GB"/>
        </w:rPr>
      </w:pPr>
    </w:p>
    <w:p w14:paraId="2BAA010F" w14:textId="33F75ADE" w:rsidR="008F3A52" w:rsidRDefault="008F3A52" w:rsidP="008F3A52">
      <w:pPr>
        <w:pStyle w:val="Heading10"/>
        <w:rPr>
          <w:lang w:val="en-GB"/>
        </w:rPr>
      </w:pPr>
      <w:r>
        <w:rPr>
          <w:lang w:val="en-GB"/>
        </w:rPr>
        <w:t>Benefits</w:t>
      </w:r>
    </w:p>
    <w:p w14:paraId="0B385C29" w14:textId="705C9172" w:rsidR="0005203B" w:rsidRDefault="008F3A52" w:rsidP="008F3A52">
      <w:pPr>
        <w:pStyle w:val="DocumentText"/>
        <w:rPr>
          <w:lang w:val="en-GB"/>
        </w:rPr>
      </w:pPr>
      <w:r>
        <w:t xml:space="preserve">The benefits provided by the </w:t>
      </w:r>
      <w:r w:rsidR="00177D13">
        <w:rPr>
          <w:rFonts w:cs="Arial"/>
        </w:rPr>
        <w:t>Fund</w:t>
      </w:r>
      <w:r>
        <w:t xml:space="preserve"> are specified in the </w:t>
      </w:r>
      <w:r w:rsidRPr="00294670">
        <w:t xml:space="preserve">governing legislation </w:t>
      </w:r>
      <w:r w:rsidRPr="00201114">
        <w:t>contained in the Regulations</w:t>
      </w:r>
      <w:r w:rsidR="002B12C2">
        <w:t xml:space="preserve"> referred to above</w:t>
      </w:r>
      <w:r w:rsidRPr="00201114">
        <w:t>.</w:t>
      </w:r>
      <w:r>
        <w:t xml:space="preserve">  </w:t>
      </w:r>
      <w:r w:rsidR="00181529" w:rsidRPr="0005203B">
        <w:rPr>
          <w:lang w:val="en-GB"/>
        </w:rPr>
        <w:t xml:space="preserve">Benefits payable under the </w:t>
      </w:r>
      <w:r w:rsidR="00177D13">
        <w:rPr>
          <w:rFonts w:cs="Arial"/>
        </w:rPr>
        <w:t>Fund</w:t>
      </w:r>
      <w:r w:rsidR="00B27F94">
        <w:rPr>
          <w:lang w:val="en-GB"/>
        </w:rPr>
        <w:t xml:space="preserve"> </w:t>
      </w:r>
      <w:r w:rsidR="00181529" w:rsidRPr="0005203B">
        <w:rPr>
          <w:lang w:val="en-GB"/>
        </w:rPr>
        <w:t>are guaranteed by statute and thereby the pensions promise is secure</w:t>
      </w:r>
      <w:r w:rsidR="002B12C2">
        <w:rPr>
          <w:lang w:val="en-GB"/>
        </w:rPr>
        <w:t xml:space="preserve"> for members</w:t>
      </w:r>
      <w:r w:rsidR="00181529" w:rsidRPr="0005203B">
        <w:rPr>
          <w:lang w:val="en-GB"/>
        </w:rPr>
        <w:t>. The FSS addresses the issue of managing the need to fund those benefits over the long term, whilst at the same time facilitating scrutiny and accountability through improved transparency and disclosure.</w:t>
      </w:r>
    </w:p>
    <w:p w14:paraId="699908CB" w14:textId="05AD8DF3" w:rsidR="00B27F94" w:rsidRPr="00F16742" w:rsidRDefault="00B27F94" w:rsidP="00B27F94">
      <w:pPr>
        <w:pStyle w:val="DocumentText"/>
        <w:rPr>
          <w:b/>
          <w:color w:val="333333"/>
          <w:u w:val="single"/>
        </w:rPr>
      </w:pPr>
      <w:r>
        <w:t xml:space="preserve">The </w:t>
      </w:r>
      <w:r w:rsidR="00177D13">
        <w:rPr>
          <w:rFonts w:cs="Arial"/>
        </w:rPr>
        <w:t>Fund</w:t>
      </w:r>
      <w:r>
        <w:t xml:space="preserve"> is a defined benefit arrangement with principally final salary related benefits from contributing members up to 1 April 2014 and Career Averaged Revalued Earnings (“CARE”) benefits earned thereafter.  There is also a “50:50 </w:t>
      </w:r>
      <w:r w:rsidR="00177D13">
        <w:t>Scheme</w:t>
      </w:r>
      <w:r>
        <w:t xml:space="preserve"> Option”, where members can elect to accrue 50% of the full </w:t>
      </w:r>
      <w:r w:rsidR="00177D13">
        <w:t>Fund</w:t>
      </w:r>
      <w:r>
        <w:t xml:space="preserve"> benefits </w:t>
      </w:r>
      <w:r w:rsidR="00F82096" w:rsidRPr="00F82096">
        <w:t xml:space="preserve">in relation to the member only </w:t>
      </w:r>
      <w:r>
        <w:t>and pay 50% of the normal member contribution.</w:t>
      </w:r>
    </w:p>
    <w:p w14:paraId="626B27D4" w14:textId="5D11346F" w:rsidR="008F3A52" w:rsidRDefault="001C2598" w:rsidP="008F3A52">
      <w:pPr>
        <w:pStyle w:val="Heading10"/>
      </w:pPr>
      <w:r>
        <w:rPr>
          <w:lang w:val="en-GB"/>
        </w:rPr>
        <w:t xml:space="preserve">employer </w:t>
      </w:r>
      <w:r w:rsidR="008F3A52" w:rsidRPr="008F3A52">
        <w:rPr>
          <w:lang w:val="en-GB"/>
        </w:rPr>
        <w:t>Contributions</w:t>
      </w:r>
    </w:p>
    <w:p w14:paraId="5CAE7BC7" w14:textId="487F67B7" w:rsidR="00166661" w:rsidRDefault="00B27F94" w:rsidP="00FE2DC0">
      <w:pPr>
        <w:pStyle w:val="DocumentText"/>
        <w:rPr>
          <w:lang w:val="en-GB"/>
        </w:rPr>
      </w:pPr>
      <w:r w:rsidRPr="009A05AB">
        <w:t xml:space="preserve">The required levels of employee contributions are specified in the Regulations.  </w:t>
      </w:r>
      <w:r w:rsidR="00181529" w:rsidRPr="00181529">
        <w:rPr>
          <w:lang w:val="en-GB"/>
        </w:rPr>
        <w:t xml:space="preserve">Employer contributions are determined in accordance with the Regulations (which require that an actuarial valuation is completed every three years by the actuary, </w:t>
      </w:r>
      <w:r w:rsidR="00181529" w:rsidRPr="00382AEC">
        <w:rPr>
          <w:lang w:val="en-GB"/>
        </w:rPr>
        <w:t>including a rates and adjustments certificate</w:t>
      </w:r>
      <w:r w:rsidR="00166661">
        <w:rPr>
          <w:lang w:val="en-GB"/>
        </w:rPr>
        <w:t xml:space="preserve"> specifying the “primary” and “secondary” rate of the employer’s contribution</w:t>
      </w:r>
      <w:r w:rsidR="005E2F07">
        <w:rPr>
          <w:lang w:val="en-GB"/>
        </w:rPr>
        <w:t>).</w:t>
      </w:r>
    </w:p>
    <w:p w14:paraId="1792D308" w14:textId="76B6934C" w:rsidR="008F3A52" w:rsidRDefault="008F3A52" w:rsidP="008F3A52">
      <w:pPr>
        <w:pStyle w:val="Heading20"/>
        <w:rPr>
          <w:lang w:val="en-GB"/>
        </w:rPr>
      </w:pPr>
      <w:r>
        <w:rPr>
          <w:lang w:val="en-GB"/>
        </w:rPr>
        <w:t>PRIMARY RATE</w:t>
      </w:r>
    </w:p>
    <w:p w14:paraId="63803BC7" w14:textId="2DCA145B" w:rsidR="00166661" w:rsidRDefault="00166661" w:rsidP="0005203B">
      <w:pPr>
        <w:pStyle w:val="Bullet1"/>
        <w:numPr>
          <w:ilvl w:val="0"/>
          <w:numId w:val="0"/>
        </w:numPr>
        <w:rPr>
          <w:lang w:val="en-GB"/>
        </w:rPr>
      </w:pPr>
      <w:r>
        <w:rPr>
          <w:lang w:val="en-GB"/>
        </w:rPr>
        <w:t>The “</w:t>
      </w:r>
      <w:r w:rsidR="00FF4AFC">
        <w:rPr>
          <w:lang w:val="en-GB"/>
        </w:rPr>
        <w:t xml:space="preserve">Primary </w:t>
      </w:r>
      <w:r>
        <w:rPr>
          <w:lang w:val="en-GB"/>
        </w:rPr>
        <w:t xml:space="preserve">rate” </w:t>
      </w:r>
      <w:r w:rsidR="00FF4AFC">
        <w:rPr>
          <w:lang w:val="en-GB"/>
        </w:rPr>
        <w:t>for</w:t>
      </w:r>
      <w:r w:rsidR="00FF4AFC" w:rsidRPr="00166661">
        <w:rPr>
          <w:lang w:val="en-GB"/>
        </w:rPr>
        <w:t xml:space="preserve"> </w:t>
      </w:r>
      <w:r w:rsidRPr="00166661">
        <w:rPr>
          <w:lang w:val="en-GB"/>
        </w:rPr>
        <w:t xml:space="preserve">an employer is the </w:t>
      </w:r>
      <w:r w:rsidR="00FF4AFC">
        <w:rPr>
          <w:lang w:val="en-GB"/>
        </w:rPr>
        <w:t>contribution rate required to meet</w:t>
      </w:r>
      <w:r w:rsidRPr="00166661">
        <w:rPr>
          <w:lang w:val="en-GB"/>
        </w:rPr>
        <w:t xml:space="preserve"> t</w:t>
      </w:r>
      <w:r>
        <w:rPr>
          <w:lang w:val="en-GB"/>
        </w:rPr>
        <w:t xml:space="preserve">he cost of </w:t>
      </w:r>
      <w:r w:rsidR="00FF4AFC">
        <w:rPr>
          <w:lang w:val="en-GB"/>
        </w:rPr>
        <w:t xml:space="preserve">the </w:t>
      </w:r>
      <w:r>
        <w:rPr>
          <w:lang w:val="en-GB"/>
        </w:rPr>
        <w:t xml:space="preserve">future </w:t>
      </w:r>
      <w:r w:rsidR="00FF4AFC">
        <w:rPr>
          <w:lang w:val="en-GB"/>
        </w:rPr>
        <w:t>accrual of benefits</w:t>
      </w:r>
      <w:r w:rsidR="00FF4AFC" w:rsidRPr="00FF4AFC">
        <w:rPr>
          <w:lang w:val="en-GB"/>
        </w:rPr>
        <w:t xml:space="preserve">, ignoring any past service surplus or deficit, but allowing for any employer-specific circumstances, such as </w:t>
      </w:r>
      <w:r w:rsidR="00FF4AFC">
        <w:rPr>
          <w:lang w:val="en-GB"/>
        </w:rPr>
        <w:t>its</w:t>
      </w:r>
      <w:r w:rsidR="00FF4AFC" w:rsidRPr="00FF4AFC">
        <w:rPr>
          <w:lang w:val="en-GB"/>
        </w:rPr>
        <w:t xml:space="preserve"> membership profile, the funding strategy adopted for that employer, the actuarial method </w:t>
      </w:r>
      <w:r w:rsidR="00FF4AFC">
        <w:rPr>
          <w:lang w:val="en-GB"/>
        </w:rPr>
        <w:t>used</w:t>
      </w:r>
      <w:r w:rsidR="00FF4AFC" w:rsidRPr="00FF4AFC">
        <w:rPr>
          <w:lang w:val="en-GB"/>
        </w:rPr>
        <w:t xml:space="preserve"> and/or the employer’s covenan</w:t>
      </w:r>
      <w:r w:rsidR="00FF4AFC">
        <w:rPr>
          <w:lang w:val="en-GB"/>
        </w:rPr>
        <w:t>t</w:t>
      </w:r>
      <w:r w:rsidRPr="00166661">
        <w:rPr>
          <w:lang w:val="en-GB"/>
        </w:rPr>
        <w:t>.</w:t>
      </w:r>
    </w:p>
    <w:p w14:paraId="389FA191" w14:textId="77777777" w:rsidR="00FF4AFC" w:rsidRDefault="00FF4AFC" w:rsidP="0005203B">
      <w:pPr>
        <w:pStyle w:val="Bullet1"/>
        <w:numPr>
          <w:ilvl w:val="0"/>
          <w:numId w:val="0"/>
        </w:numPr>
        <w:rPr>
          <w:lang w:val="en-GB"/>
        </w:rPr>
      </w:pPr>
    </w:p>
    <w:p w14:paraId="5F06139C" w14:textId="3228B66D" w:rsidR="00FF4AFC" w:rsidRDefault="00FF4AFC" w:rsidP="0005203B">
      <w:pPr>
        <w:pStyle w:val="Bullet1"/>
        <w:numPr>
          <w:ilvl w:val="0"/>
          <w:numId w:val="0"/>
        </w:numPr>
        <w:rPr>
          <w:lang w:val="en-GB"/>
        </w:rPr>
      </w:pPr>
      <w:r>
        <w:rPr>
          <w:lang w:val="en-GB"/>
        </w:rPr>
        <w:t>The Primary rate for the whole fund is the weighted average (by payroll) of the individual employers’ Primary rates.</w:t>
      </w:r>
    </w:p>
    <w:p w14:paraId="1276AC1C" w14:textId="77777777" w:rsidR="002408EB" w:rsidRDefault="002408EB" w:rsidP="008F3A52">
      <w:pPr>
        <w:pStyle w:val="Heading20"/>
        <w:rPr>
          <w:lang w:val="en-GB"/>
        </w:rPr>
      </w:pPr>
    </w:p>
    <w:p w14:paraId="553DD00E" w14:textId="77777777" w:rsidR="008F3A52" w:rsidRDefault="008F3A52" w:rsidP="008F3A52">
      <w:pPr>
        <w:pStyle w:val="Heading20"/>
        <w:rPr>
          <w:lang w:val="en-GB"/>
        </w:rPr>
      </w:pPr>
      <w:r>
        <w:rPr>
          <w:lang w:val="en-GB"/>
        </w:rPr>
        <w:t>SECONDARY RATE</w:t>
      </w:r>
    </w:p>
    <w:p w14:paraId="7B1E8BE5" w14:textId="71835A95" w:rsidR="00290E5F" w:rsidRDefault="00FF4AFC" w:rsidP="00360680">
      <w:pPr>
        <w:pStyle w:val="Bullet1"/>
        <w:numPr>
          <w:ilvl w:val="0"/>
          <w:numId w:val="0"/>
        </w:numPr>
        <w:rPr>
          <w:lang w:val="en-GB"/>
        </w:rPr>
      </w:pPr>
      <w:r w:rsidRPr="00FF4AFC">
        <w:rPr>
          <w:lang w:val="en-GB"/>
        </w:rPr>
        <w:t xml:space="preserve">The </w:t>
      </w:r>
      <w:r>
        <w:rPr>
          <w:lang w:val="en-GB"/>
        </w:rPr>
        <w:t>“</w:t>
      </w:r>
      <w:r w:rsidRPr="00FF4AFC">
        <w:rPr>
          <w:lang w:val="en-GB"/>
        </w:rPr>
        <w:t>Secondary rate</w:t>
      </w:r>
      <w:r>
        <w:rPr>
          <w:lang w:val="en-GB"/>
        </w:rPr>
        <w:t>”</w:t>
      </w:r>
      <w:r w:rsidRPr="00FF4AFC">
        <w:rPr>
          <w:lang w:val="en-GB"/>
        </w:rPr>
        <w:t xml:space="preserve"> is an adjustment to the Primary rate to arrive at th</w:t>
      </w:r>
      <w:r w:rsidRPr="00A67EE3">
        <w:rPr>
          <w:lang w:val="en-GB"/>
        </w:rPr>
        <w:t xml:space="preserve">e </w:t>
      </w:r>
      <w:r w:rsidR="00A6554D" w:rsidRPr="00A67EE3">
        <w:rPr>
          <w:lang w:val="en-GB"/>
        </w:rPr>
        <w:t xml:space="preserve">total </w:t>
      </w:r>
      <w:r w:rsidRPr="00A67EE3">
        <w:rPr>
          <w:lang w:val="en-GB"/>
        </w:rPr>
        <w:t xml:space="preserve">rate </w:t>
      </w:r>
      <w:r w:rsidR="00A6554D" w:rsidRPr="00A67EE3">
        <w:rPr>
          <w:lang w:val="en-GB"/>
        </w:rPr>
        <w:t>of contribution</w:t>
      </w:r>
      <w:r w:rsidR="00A6554D">
        <w:rPr>
          <w:lang w:val="en-GB"/>
        </w:rPr>
        <w:t xml:space="preserve"> </w:t>
      </w:r>
      <w:r w:rsidRPr="00FF4AFC">
        <w:rPr>
          <w:lang w:val="en-GB"/>
        </w:rPr>
        <w:t>each employer is required to pay.</w:t>
      </w:r>
      <w:r>
        <w:rPr>
          <w:lang w:val="en-GB"/>
        </w:rPr>
        <w:t xml:space="preserve">   </w:t>
      </w:r>
      <w:r w:rsidRPr="00FF4AFC">
        <w:rPr>
          <w:lang w:val="en-GB"/>
        </w:rPr>
        <w:t>The Secondary rate may be expressed as a percentage adjustment to the Primary rate, and/or a cash adjust</w:t>
      </w:r>
      <w:r>
        <w:rPr>
          <w:lang w:val="en-GB"/>
        </w:rPr>
        <w:t>ment in each of the three years beginning 1</w:t>
      </w:r>
      <w:r w:rsidRPr="00360680">
        <w:rPr>
          <w:vertAlign w:val="superscript"/>
          <w:lang w:val="en-GB"/>
        </w:rPr>
        <w:t xml:space="preserve"> </w:t>
      </w:r>
      <w:r>
        <w:rPr>
          <w:lang w:val="en-GB"/>
        </w:rPr>
        <w:t>April in the year following the actuarial valuation.</w:t>
      </w:r>
    </w:p>
    <w:p w14:paraId="3DE7CE28" w14:textId="77777777" w:rsidR="00FF4AFC" w:rsidRDefault="00FF4AFC" w:rsidP="00CB0030">
      <w:pPr>
        <w:pStyle w:val="Bullet1"/>
        <w:numPr>
          <w:ilvl w:val="0"/>
          <w:numId w:val="0"/>
        </w:numPr>
        <w:rPr>
          <w:lang w:val="en-GB"/>
        </w:rPr>
      </w:pPr>
    </w:p>
    <w:p w14:paraId="00DC9C3E" w14:textId="27718E4E" w:rsidR="00FF4AFC" w:rsidRDefault="00FF4AFC" w:rsidP="00CB0030">
      <w:pPr>
        <w:pStyle w:val="Bullet1"/>
        <w:numPr>
          <w:ilvl w:val="0"/>
          <w:numId w:val="0"/>
        </w:numPr>
        <w:rPr>
          <w:lang w:val="en-GB"/>
        </w:rPr>
      </w:pPr>
      <w:r>
        <w:rPr>
          <w:lang w:val="en-GB"/>
        </w:rPr>
        <w:t>S</w:t>
      </w:r>
      <w:r w:rsidRPr="00FF4AFC">
        <w:rPr>
          <w:lang w:val="en-GB"/>
        </w:rPr>
        <w:t xml:space="preserve">econdary rates for the whole </w:t>
      </w:r>
      <w:r>
        <w:rPr>
          <w:lang w:val="en-GB"/>
        </w:rPr>
        <w:t>fund</w:t>
      </w:r>
      <w:r w:rsidRPr="00FF4AFC">
        <w:rPr>
          <w:lang w:val="en-GB"/>
        </w:rPr>
        <w:t xml:space="preserve"> </w:t>
      </w:r>
      <w:r w:rsidR="00360680">
        <w:rPr>
          <w:lang w:val="en-GB"/>
        </w:rPr>
        <w:t xml:space="preserve">in each of the three years </w:t>
      </w:r>
      <w:r w:rsidR="006D31CC">
        <w:rPr>
          <w:lang w:val="en-GB"/>
        </w:rPr>
        <w:t xml:space="preserve">shall </w:t>
      </w:r>
      <w:r w:rsidR="00360680">
        <w:rPr>
          <w:lang w:val="en-GB"/>
        </w:rPr>
        <w:t xml:space="preserve">also </w:t>
      </w:r>
      <w:r w:rsidR="006625BF">
        <w:rPr>
          <w:lang w:val="en-GB"/>
        </w:rPr>
        <w:t>be disclosed</w:t>
      </w:r>
      <w:r w:rsidR="00360680">
        <w:rPr>
          <w:lang w:val="en-GB"/>
        </w:rPr>
        <w:t>.</w:t>
      </w:r>
      <w:r w:rsidRPr="00FF4AFC">
        <w:rPr>
          <w:lang w:val="en-GB"/>
        </w:rPr>
        <w:t xml:space="preserve">  These </w:t>
      </w:r>
      <w:r w:rsidR="00360680">
        <w:rPr>
          <w:lang w:val="en-GB"/>
        </w:rPr>
        <w:t>will</w:t>
      </w:r>
      <w:r w:rsidRPr="00FF4AFC">
        <w:rPr>
          <w:lang w:val="en-GB"/>
        </w:rPr>
        <w:t xml:space="preserve"> be </w:t>
      </w:r>
      <w:r w:rsidR="00360680">
        <w:rPr>
          <w:lang w:val="en-GB"/>
        </w:rPr>
        <w:t xml:space="preserve">the </w:t>
      </w:r>
      <w:r w:rsidRPr="00FF4AFC">
        <w:rPr>
          <w:lang w:val="en-GB"/>
        </w:rPr>
        <w:t xml:space="preserve">calculated weighted average based on the whole </w:t>
      </w:r>
      <w:r w:rsidR="00360680">
        <w:rPr>
          <w:lang w:val="en-GB"/>
        </w:rPr>
        <w:t>fund</w:t>
      </w:r>
      <w:r w:rsidRPr="00FF4AFC">
        <w:rPr>
          <w:lang w:val="en-GB"/>
        </w:rPr>
        <w:t xml:space="preserve"> payroll in respect of percentage rates and </w:t>
      </w:r>
      <w:r w:rsidR="00360680">
        <w:rPr>
          <w:lang w:val="en-GB"/>
        </w:rPr>
        <w:t>the</w:t>
      </w:r>
      <w:r w:rsidRPr="00FF4AFC">
        <w:rPr>
          <w:lang w:val="en-GB"/>
        </w:rPr>
        <w:t xml:space="preserve"> total amount in respect of cash adjustments.</w:t>
      </w:r>
    </w:p>
    <w:p w14:paraId="2EC34F3A" w14:textId="1A581AA3" w:rsidR="00FF4AFC" w:rsidRDefault="00FF4AFC" w:rsidP="00FF4AFC">
      <w:pPr>
        <w:pStyle w:val="Bullet1"/>
        <w:numPr>
          <w:ilvl w:val="0"/>
          <w:numId w:val="0"/>
        </w:numPr>
        <w:rPr>
          <w:lang w:val="en-GB"/>
        </w:rPr>
      </w:pPr>
    </w:p>
    <w:p w14:paraId="6C5FD648" w14:textId="77777777" w:rsidR="00290E5F" w:rsidRDefault="00290E5F" w:rsidP="0005203B">
      <w:pPr>
        <w:pStyle w:val="Bullet1"/>
        <w:numPr>
          <w:ilvl w:val="0"/>
          <w:numId w:val="0"/>
        </w:numPr>
        <w:rPr>
          <w:lang w:val="en-GB"/>
        </w:rPr>
      </w:pPr>
    </w:p>
    <w:p w14:paraId="4035F1C4" w14:textId="2C4FAE14" w:rsidR="0005203B" w:rsidRDefault="0005203B" w:rsidP="0005203B">
      <w:pPr>
        <w:pStyle w:val="SectionNumber"/>
        <w:rPr>
          <w:lang w:val="en-GB"/>
        </w:rPr>
      </w:pPr>
      <w:r>
        <w:rPr>
          <w:lang w:val="en-GB"/>
        </w:rPr>
        <w:t>2</w:t>
      </w:r>
    </w:p>
    <w:p w14:paraId="3AF38C07" w14:textId="378A6D73" w:rsidR="0005203B" w:rsidRDefault="0005203B" w:rsidP="0005203B">
      <w:pPr>
        <w:pStyle w:val="SectionHeading"/>
        <w:rPr>
          <w:lang w:val="en-GB"/>
        </w:rPr>
      </w:pPr>
      <w:bookmarkStart w:id="3" w:name="_Toc453168462"/>
      <w:r>
        <w:rPr>
          <w:lang w:val="en-GB"/>
        </w:rPr>
        <w:t>Purpose of FSS in policy terms</w:t>
      </w:r>
      <w:bookmarkEnd w:id="3"/>
    </w:p>
    <w:p w14:paraId="17EFDCE5" w14:textId="4817891E" w:rsidR="0005203B" w:rsidRDefault="0005203B" w:rsidP="0005203B">
      <w:pPr>
        <w:pStyle w:val="DocumentText"/>
        <w:rPr>
          <w:lang w:val="en-GB"/>
        </w:rPr>
      </w:pPr>
      <w:r w:rsidRPr="0005203B">
        <w:rPr>
          <w:lang w:val="en-GB"/>
        </w:rPr>
        <w:t>Funding is the making of advance provision to meet the cost of accruing benefit promises. Decisions taken regarding the approach to funding will therefore determine the rate or pace at which this advance provision is made. Although the Regulations specify the fundamental principles on which funding contributions should be assessed, implementation of the funding strategy is the responsibility of the Administering Authority, acting on the professional advice provided by the actuary.</w:t>
      </w:r>
    </w:p>
    <w:p w14:paraId="42912106" w14:textId="0D2AF8A1" w:rsidR="00436D94" w:rsidRDefault="00436D94" w:rsidP="00436D94">
      <w:pPr>
        <w:rPr>
          <w:rFonts w:cs="Arial"/>
        </w:rPr>
      </w:pPr>
      <w:r>
        <w:rPr>
          <w:rFonts w:cs="Arial"/>
        </w:rPr>
        <w:t>T</w:t>
      </w:r>
      <w:r w:rsidRPr="009A05AB">
        <w:rPr>
          <w:rFonts w:cs="Arial"/>
        </w:rPr>
        <w:t xml:space="preserve">he Administering Authority’s long term objective is for the </w:t>
      </w:r>
      <w:r w:rsidR="00177D13">
        <w:rPr>
          <w:rFonts w:cs="Arial"/>
        </w:rPr>
        <w:t>Fund</w:t>
      </w:r>
      <w:r w:rsidR="0099341C" w:rsidRPr="009A05AB">
        <w:rPr>
          <w:rFonts w:cs="Arial"/>
        </w:rPr>
        <w:t xml:space="preserve"> </w:t>
      </w:r>
      <w:r w:rsidRPr="009A05AB">
        <w:rPr>
          <w:rFonts w:cs="Arial"/>
        </w:rPr>
        <w:t>to achieve</w:t>
      </w:r>
      <w:r>
        <w:rPr>
          <w:rFonts w:cs="Arial"/>
        </w:rPr>
        <w:t xml:space="preserve"> a 100% solvency level over a reasonable time period</w:t>
      </w:r>
      <w:r w:rsidRPr="009A05AB">
        <w:rPr>
          <w:rFonts w:cs="Arial"/>
        </w:rPr>
        <w:t xml:space="preserve"> and then maintain sufficient assets </w:t>
      </w:r>
      <w:r>
        <w:rPr>
          <w:rFonts w:cs="Arial"/>
        </w:rPr>
        <w:t xml:space="preserve">in order for it to pay all benefits arising as they fall due.  </w:t>
      </w:r>
    </w:p>
    <w:p w14:paraId="5692F3D3" w14:textId="54ACB96C" w:rsidR="0005203B" w:rsidRDefault="0005203B" w:rsidP="0005203B">
      <w:pPr>
        <w:pStyle w:val="DocumentText"/>
        <w:rPr>
          <w:lang w:val="en-GB"/>
        </w:rPr>
      </w:pPr>
      <w:r w:rsidRPr="0005203B">
        <w:rPr>
          <w:lang w:val="en-GB"/>
        </w:rPr>
        <w:t>The purpose of this Funding Strategy Statement is</w:t>
      </w:r>
      <w:r w:rsidR="00436D94">
        <w:rPr>
          <w:lang w:val="en-GB"/>
        </w:rPr>
        <w:t xml:space="preserve"> therefore</w:t>
      </w:r>
      <w:r w:rsidRPr="0005203B">
        <w:rPr>
          <w:lang w:val="en-GB"/>
        </w:rPr>
        <w:t>:</w:t>
      </w:r>
    </w:p>
    <w:p w14:paraId="01E58FAC" w14:textId="272235E9" w:rsidR="0005203B" w:rsidRDefault="0005203B" w:rsidP="0005203B">
      <w:pPr>
        <w:pStyle w:val="Bullet1"/>
        <w:rPr>
          <w:lang w:val="en-GB"/>
        </w:rPr>
      </w:pPr>
      <w:r w:rsidRPr="0005203B">
        <w:rPr>
          <w:lang w:val="en-GB"/>
        </w:rPr>
        <w:t>to establish a clear and transparent fund-specific strategy which will identify how employers’ pension liabilities are best met going forward</w:t>
      </w:r>
      <w:r w:rsidR="002B12C2">
        <w:rPr>
          <w:lang w:val="en-GB"/>
        </w:rPr>
        <w:t xml:space="preserve"> by taking</w:t>
      </w:r>
      <w:r w:rsidR="002B12C2" w:rsidRPr="0005203B">
        <w:rPr>
          <w:lang w:val="en-GB"/>
        </w:rPr>
        <w:t xml:space="preserve"> a prudent longer-term view of funding those liabilities</w:t>
      </w:r>
      <w:r w:rsidRPr="0005203B">
        <w:rPr>
          <w:lang w:val="en-GB"/>
        </w:rPr>
        <w:t>;</w:t>
      </w:r>
    </w:p>
    <w:p w14:paraId="465E0172" w14:textId="3287A854" w:rsidR="002B12C2" w:rsidRDefault="002B12C2" w:rsidP="002B12C2">
      <w:pPr>
        <w:pStyle w:val="Bullet1"/>
        <w:rPr>
          <w:lang w:val="en-GB"/>
        </w:rPr>
      </w:pPr>
      <w:r>
        <w:rPr>
          <w:lang w:val="en-GB"/>
        </w:rPr>
        <w:t>to establish c</w:t>
      </w:r>
      <w:r w:rsidRPr="00181529">
        <w:rPr>
          <w:lang w:val="en-GB"/>
        </w:rPr>
        <w:t xml:space="preserve">ontributions </w:t>
      </w:r>
      <w:r>
        <w:rPr>
          <w:lang w:val="en-GB"/>
        </w:rPr>
        <w:t>at a level</w:t>
      </w:r>
      <w:r w:rsidRPr="00181529">
        <w:rPr>
          <w:lang w:val="en-GB"/>
        </w:rPr>
        <w:t xml:space="preserve"> to “secure </w:t>
      </w:r>
      <w:r>
        <w:rPr>
          <w:lang w:val="en-GB"/>
        </w:rPr>
        <w:t xml:space="preserve">the </w:t>
      </w:r>
      <w:r w:rsidRPr="00181529">
        <w:rPr>
          <w:lang w:val="en-GB"/>
        </w:rPr>
        <w:t>solvency</w:t>
      </w:r>
      <w:r w:rsidR="00417F0E">
        <w:rPr>
          <w:lang w:val="en-GB"/>
        </w:rPr>
        <w:t>”</w:t>
      </w:r>
      <w:r>
        <w:rPr>
          <w:lang w:val="en-GB"/>
        </w:rPr>
        <w:t xml:space="preserve"> of the pension fund and the “long term cost efficiency</w:t>
      </w:r>
      <w:r w:rsidRPr="00181529">
        <w:rPr>
          <w:lang w:val="en-GB"/>
        </w:rPr>
        <w:t xml:space="preserve">”, </w:t>
      </w:r>
    </w:p>
    <w:p w14:paraId="3CBB309D" w14:textId="7D35B701" w:rsidR="002B12C2" w:rsidRDefault="002B12C2" w:rsidP="002B12C2">
      <w:pPr>
        <w:pStyle w:val="Bullet1"/>
        <w:rPr>
          <w:lang w:val="en-GB"/>
        </w:rPr>
      </w:pPr>
      <w:r>
        <w:rPr>
          <w:lang w:val="en-GB"/>
        </w:rPr>
        <w:t>to</w:t>
      </w:r>
      <w:r w:rsidRPr="00181529">
        <w:rPr>
          <w:lang w:val="en-GB"/>
        </w:rPr>
        <w:t xml:space="preserve"> have regard to the </w:t>
      </w:r>
      <w:r w:rsidRPr="006023B0">
        <w:rPr>
          <w:u w:val="single"/>
          <w:lang w:val="en-GB"/>
        </w:rPr>
        <w:t>desirability</w:t>
      </w:r>
      <w:r w:rsidRPr="00181529">
        <w:rPr>
          <w:lang w:val="en-GB"/>
        </w:rPr>
        <w:t xml:space="preserve"> of maintaining as nearly constant a </w:t>
      </w:r>
      <w:r w:rsidRPr="002B12C2">
        <w:rPr>
          <w:u w:val="single"/>
          <w:lang w:val="en-GB"/>
        </w:rPr>
        <w:t>primary rate</w:t>
      </w:r>
      <w:r w:rsidRPr="00181529">
        <w:rPr>
          <w:lang w:val="en-GB"/>
        </w:rPr>
        <w:t xml:space="preserve"> of contribution as possible. </w:t>
      </w:r>
    </w:p>
    <w:p w14:paraId="1375747F" w14:textId="2A6A2D71" w:rsidR="0005203B" w:rsidRDefault="0005203B" w:rsidP="002B12C2">
      <w:pPr>
        <w:pStyle w:val="Bullet1"/>
        <w:numPr>
          <w:ilvl w:val="0"/>
          <w:numId w:val="0"/>
        </w:numPr>
        <w:ind w:left="288"/>
        <w:rPr>
          <w:lang w:val="en-GB"/>
        </w:rPr>
      </w:pPr>
    </w:p>
    <w:p w14:paraId="1C9AB1C4" w14:textId="1C02F738" w:rsidR="0005203B" w:rsidRDefault="0005203B" w:rsidP="0005203B">
      <w:pPr>
        <w:pStyle w:val="Bullet1"/>
        <w:numPr>
          <w:ilvl w:val="0"/>
          <w:numId w:val="0"/>
        </w:numPr>
        <w:rPr>
          <w:lang w:val="en-GB"/>
        </w:rPr>
      </w:pPr>
      <w:r w:rsidRPr="0005203B">
        <w:rPr>
          <w:lang w:val="en-GB"/>
        </w:rPr>
        <w:t>The intention is for this strategy to be both cohesive and comprehensive for the Fund as a whole, recognising that there will be conflicting objectives which need to be balanced and reconciled. Whilst the position of individual employers must be reflected in the statement, it must remain a single strategy for the Administering Authority to implement and maintain.</w:t>
      </w:r>
    </w:p>
    <w:p w14:paraId="5A3BF189" w14:textId="57C698E1" w:rsidR="0005203B" w:rsidRDefault="0005203B" w:rsidP="0005203B">
      <w:pPr>
        <w:pStyle w:val="SectionNumber"/>
        <w:rPr>
          <w:lang w:val="en-GB"/>
        </w:rPr>
      </w:pPr>
      <w:r>
        <w:rPr>
          <w:lang w:val="en-GB"/>
        </w:rPr>
        <w:t>3</w:t>
      </w:r>
    </w:p>
    <w:p w14:paraId="48AE0A1B" w14:textId="30CE9B94" w:rsidR="0005203B" w:rsidRDefault="0005203B" w:rsidP="0005203B">
      <w:pPr>
        <w:pStyle w:val="SectionHeading"/>
        <w:rPr>
          <w:lang w:val="en-GB"/>
        </w:rPr>
      </w:pPr>
      <w:bookmarkStart w:id="4" w:name="_Toc453168463"/>
      <w:r>
        <w:rPr>
          <w:lang w:val="en-GB"/>
        </w:rPr>
        <w:t>Aims and purpose of the Fund</w:t>
      </w:r>
      <w:bookmarkEnd w:id="4"/>
    </w:p>
    <w:p w14:paraId="264BF1E0" w14:textId="3D72B1AE" w:rsidR="003E3221" w:rsidRDefault="003E3221" w:rsidP="004346A0">
      <w:pPr>
        <w:pStyle w:val="Heading10"/>
      </w:pPr>
      <w:r w:rsidRPr="00955A1B">
        <w:t>The aims of the fund are to:</w:t>
      </w:r>
    </w:p>
    <w:p w14:paraId="59CCB373" w14:textId="77777777" w:rsidR="00B01CB6" w:rsidRPr="00B01CB6" w:rsidRDefault="00B01CB6" w:rsidP="00B01CB6">
      <w:pPr>
        <w:pStyle w:val="Bullet1"/>
        <w:numPr>
          <w:ilvl w:val="0"/>
          <w:numId w:val="0"/>
        </w:numPr>
        <w:ind w:left="289"/>
        <w:rPr>
          <w:rFonts w:cs="Arial"/>
        </w:rPr>
      </w:pPr>
    </w:p>
    <w:p w14:paraId="4E47FE0E" w14:textId="31E6A249" w:rsidR="00392D38" w:rsidRPr="00392D38" w:rsidRDefault="00B60800" w:rsidP="00392D38">
      <w:pPr>
        <w:pStyle w:val="Bullet1"/>
        <w:ind w:left="289" w:hanging="289"/>
        <w:rPr>
          <w:rFonts w:cs="Arial"/>
        </w:rPr>
      </w:pPr>
      <w:r>
        <w:t xml:space="preserve">manage employers’ liabilities effectively and </w:t>
      </w:r>
      <w:r w:rsidR="003E3221" w:rsidRPr="00955A1B">
        <w:t>ensure that sufficient resources are available to meet a</w:t>
      </w:r>
      <w:r w:rsidR="00392D38">
        <w:t>ll liabilities as they fall due</w:t>
      </w:r>
    </w:p>
    <w:p w14:paraId="4B21695A" w14:textId="0668B807" w:rsidR="003E3221" w:rsidRPr="00392D38" w:rsidRDefault="003E3221" w:rsidP="00392D38">
      <w:pPr>
        <w:pStyle w:val="Bullet1"/>
        <w:ind w:left="289" w:hanging="289"/>
        <w:rPr>
          <w:rFonts w:cs="Arial"/>
        </w:rPr>
      </w:pPr>
      <w:r w:rsidRPr="00392D38">
        <w:rPr>
          <w:rFonts w:cs="Arial"/>
        </w:rPr>
        <w:t>enable employer contribution rates to be kept at a reasonable and affordable cost to the taxpayers, scheduled, resolution and admitted bodies</w:t>
      </w:r>
      <w:r w:rsidR="00B60800">
        <w:rPr>
          <w:rFonts w:cs="Arial"/>
        </w:rPr>
        <w:t>, while achieving and maintaining fund solvency and long term cost efficiency, which should be assessed in li</w:t>
      </w:r>
      <w:r w:rsidR="00CB14E4">
        <w:rPr>
          <w:rFonts w:cs="Arial"/>
        </w:rPr>
        <w:t xml:space="preserve">ght of the profile of the </w:t>
      </w:r>
      <w:r w:rsidR="00177D13">
        <w:rPr>
          <w:rFonts w:cs="Arial"/>
        </w:rPr>
        <w:t>Fund</w:t>
      </w:r>
      <w:r w:rsidR="00CB14E4">
        <w:rPr>
          <w:rFonts w:cs="Arial"/>
        </w:rPr>
        <w:t xml:space="preserve"> now and in the future due to sector changes</w:t>
      </w:r>
    </w:p>
    <w:p w14:paraId="5C287D94" w14:textId="2DE30928" w:rsidR="003E3221" w:rsidRPr="00955A1B" w:rsidRDefault="003E3221" w:rsidP="00392D38">
      <w:pPr>
        <w:pStyle w:val="Bullet1"/>
        <w:ind w:left="289" w:hanging="289"/>
        <w:rPr>
          <w:rFonts w:cs="Arial"/>
        </w:rPr>
      </w:pPr>
      <w:r w:rsidRPr="00955A1B">
        <w:rPr>
          <w:rFonts w:cs="Arial"/>
        </w:rPr>
        <w:t>maximise the returns from investments within reasonable risk parameters</w:t>
      </w:r>
      <w:r w:rsidR="005A71D4">
        <w:rPr>
          <w:rFonts w:cs="Arial"/>
        </w:rPr>
        <w:t xml:space="preserve"> taking into account the above a</w:t>
      </w:r>
      <w:r w:rsidR="00CB14E4">
        <w:rPr>
          <w:rFonts w:cs="Arial"/>
        </w:rPr>
        <w:t>ims</w:t>
      </w:r>
      <w:r w:rsidRPr="00955A1B">
        <w:rPr>
          <w:rFonts w:cs="Arial"/>
        </w:rPr>
        <w:t>.</w:t>
      </w:r>
    </w:p>
    <w:p w14:paraId="6FD94BD3" w14:textId="77777777" w:rsidR="003E3221" w:rsidRDefault="003E3221" w:rsidP="003E3221">
      <w:pPr>
        <w:pStyle w:val="Heading10"/>
      </w:pPr>
    </w:p>
    <w:p w14:paraId="4A8AEC13" w14:textId="4E8F7C9A" w:rsidR="003E3221" w:rsidRPr="003E3221" w:rsidRDefault="003E3221" w:rsidP="003E3221">
      <w:pPr>
        <w:pStyle w:val="Heading10"/>
      </w:pPr>
      <w:r w:rsidRPr="003E3221">
        <w:t>The purpose of the fund is to:</w:t>
      </w:r>
    </w:p>
    <w:p w14:paraId="71AC08C4" w14:textId="77777777" w:rsidR="003E3221" w:rsidRPr="00392D38" w:rsidRDefault="003E3221" w:rsidP="00392D38">
      <w:pPr>
        <w:pStyle w:val="Bullet1"/>
        <w:numPr>
          <w:ilvl w:val="0"/>
          <w:numId w:val="0"/>
        </w:numPr>
        <w:ind w:left="289"/>
      </w:pPr>
    </w:p>
    <w:p w14:paraId="2CC6FE4F" w14:textId="77777777" w:rsidR="003E3221" w:rsidRPr="00392D38" w:rsidRDefault="003E3221" w:rsidP="00392D38">
      <w:pPr>
        <w:pStyle w:val="Bullet1"/>
        <w:ind w:left="289" w:hanging="289"/>
      </w:pPr>
      <w:r w:rsidRPr="00392D38">
        <w:t>receive monies in respect of contributions, transfer values and investment income, and</w:t>
      </w:r>
    </w:p>
    <w:p w14:paraId="7729D275" w14:textId="199709C0" w:rsidR="0005203B" w:rsidRPr="00BD6D12" w:rsidRDefault="003E3221" w:rsidP="003E3221">
      <w:pPr>
        <w:pStyle w:val="Bullet1"/>
        <w:spacing w:after="120"/>
        <w:ind w:left="289" w:hanging="289"/>
        <w:rPr>
          <w:rFonts w:cs="Arial"/>
        </w:rPr>
      </w:pPr>
      <w:r w:rsidRPr="00392D38">
        <w:t xml:space="preserve">pay out monies in respect of </w:t>
      </w:r>
      <w:r w:rsidR="00177D13">
        <w:t>Fund</w:t>
      </w:r>
      <w:r w:rsidRPr="00392D38">
        <w:t xml:space="preserve"> benefits, transfer values, costs, charges and expenses</w:t>
      </w:r>
      <w:r w:rsidR="00BD6D12">
        <w:t xml:space="preserve"> as defined in the 2013 Regulations, the 2014 Transitional Regulations and </w:t>
      </w:r>
      <w:r w:rsidRPr="00BD6D12">
        <w:rPr>
          <w:rFonts w:cs="Arial"/>
        </w:rPr>
        <w:t xml:space="preserve">the Local Government Pension Scheme (Management and Investment of Funds) Regulations </w:t>
      </w:r>
      <w:r w:rsidR="00C535F3" w:rsidRPr="00CB14E4">
        <w:rPr>
          <w:rFonts w:cs="Arial"/>
        </w:rPr>
        <w:t>2016</w:t>
      </w:r>
      <w:r w:rsidRPr="00BD6D12">
        <w:rPr>
          <w:rFonts w:cs="Arial"/>
        </w:rPr>
        <w:t>.</w:t>
      </w:r>
    </w:p>
    <w:p w14:paraId="7202BE6F" w14:textId="77777777" w:rsidR="003E3221" w:rsidRDefault="003E3221" w:rsidP="003E3221">
      <w:pPr>
        <w:spacing w:after="120"/>
        <w:rPr>
          <w:rFonts w:cs="Arial"/>
        </w:rPr>
      </w:pPr>
    </w:p>
    <w:p w14:paraId="6E50AB12" w14:textId="04AA7A1A" w:rsidR="003E3221" w:rsidRDefault="003E3221" w:rsidP="003E3221">
      <w:pPr>
        <w:pStyle w:val="SectionNumber"/>
      </w:pPr>
      <w:r>
        <w:t>4</w:t>
      </w:r>
    </w:p>
    <w:p w14:paraId="27BFD065" w14:textId="340F2860" w:rsidR="003E3221" w:rsidRDefault="003E3221" w:rsidP="003E3221">
      <w:pPr>
        <w:pStyle w:val="SectionHeading"/>
      </w:pPr>
      <w:bookmarkStart w:id="5" w:name="_Toc453168464"/>
      <w:r>
        <w:t>Responsibilities of the key parties</w:t>
      </w:r>
      <w:bookmarkEnd w:id="5"/>
    </w:p>
    <w:p w14:paraId="52661845" w14:textId="712F09DC" w:rsidR="00235C3F" w:rsidRDefault="00235C3F" w:rsidP="00235C3F">
      <w:pPr>
        <w:spacing w:after="120"/>
        <w:rPr>
          <w:rFonts w:cs="Arial"/>
          <w:bCs/>
        </w:rPr>
      </w:pPr>
      <w:r>
        <w:rPr>
          <w:rFonts w:cs="Arial"/>
          <w:bCs/>
        </w:rPr>
        <w:t xml:space="preserve">The efficient and effective management of the </w:t>
      </w:r>
      <w:r w:rsidR="00177D13">
        <w:rPr>
          <w:rFonts w:cs="Arial"/>
        </w:rPr>
        <w:t>Fund</w:t>
      </w:r>
      <w:r>
        <w:rPr>
          <w:rFonts w:cs="Arial"/>
          <w:bCs/>
        </w:rPr>
        <w:t xml:space="preserve"> can only be achieved if all parties exercise their statutory duties and responsibilities co</w:t>
      </w:r>
      <w:r w:rsidR="00F33000">
        <w:rPr>
          <w:rFonts w:cs="Arial"/>
          <w:bCs/>
        </w:rPr>
        <w:t xml:space="preserve">nscientiously and diligently. </w:t>
      </w:r>
      <w:r w:rsidR="0020031B">
        <w:rPr>
          <w:rFonts w:cs="Arial"/>
          <w:bCs/>
        </w:rPr>
        <w:t>The key parties</w:t>
      </w:r>
      <w:r>
        <w:rPr>
          <w:rFonts w:cs="Arial"/>
          <w:bCs/>
        </w:rPr>
        <w:t xml:space="preserve"> for the purposes of </w:t>
      </w:r>
      <w:r w:rsidRPr="00A67EE3">
        <w:rPr>
          <w:rFonts w:cs="Arial"/>
          <w:bCs/>
        </w:rPr>
        <w:t>the FSS are the Administering Authority</w:t>
      </w:r>
      <w:r w:rsidR="0020031B" w:rsidRPr="00A67EE3">
        <w:rPr>
          <w:rFonts w:cs="Arial"/>
          <w:bCs/>
        </w:rPr>
        <w:t xml:space="preserve"> (</w:t>
      </w:r>
      <w:r w:rsidR="002408EB" w:rsidRPr="00A67EE3">
        <w:rPr>
          <w:rFonts w:cs="Arial"/>
          <w:bCs/>
        </w:rPr>
        <w:t xml:space="preserve">and, </w:t>
      </w:r>
      <w:r w:rsidR="0020031B" w:rsidRPr="00A67EE3">
        <w:rPr>
          <w:rFonts w:cs="Arial"/>
          <w:bCs/>
        </w:rPr>
        <w:t xml:space="preserve">in particular the </w:t>
      </w:r>
      <w:r w:rsidR="00AE0891" w:rsidRPr="00A67EE3">
        <w:rPr>
          <w:rFonts w:cs="Arial"/>
          <w:bCs/>
        </w:rPr>
        <w:t>Pension</w:t>
      </w:r>
      <w:r w:rsidR="00A67EE3" w:rsidRPr="00A67EE3">
        <w:rPr>
          <w:rFonts w:cs="Arial"/>
          <w:bCs/>
        </w:rPr>
        <w:t xml:space="preserve"> Fund </w:t>
      </w:r>
      <w:r w:rsidR="00AE0891" w:rsidRPr="00A67EE3">
        <w:rPr>
          <w:rFonts w:cs="Arial"/>
          <w:bCs/>
        </w:rPr>
        <w:t>Committee</w:t>
      </w:r>
      <w:r w:rsidR="00F524FA">
        <w:rPr>
          <w:rFonts w:cs="Arial"/>
          <w:bCs/>
        </w:rPr>
        <w:t>),</w:t>
      </w:r>
      <w:r>
        <w:rPr>
          <w:rFonts w:cs="Arial"/>
          <w:bCs/>
        </w:rPr>
        <w:t xml:space="preserve"> the individual employers and the </w:t>
      </w:r>
      <w:r w:rsidR="006916F9">
        <w:rPr>
          <w:rFonts w:cs="Arial"/>
          <w:bCs/>
        </w:rPr>
        <w:t>Fund</w:t>
      </w:r>
      <w:r>
        <w:rPr>
          <w:rFonts w:cs="Arial"/>
          <w:bCs/>
        </w:rPr>
        <w:t xml:space="preserve"> Actuary</w:t>
      </w:r>
      <w:r w:rsidR="00F524FA">
        <w:rPr>
          <w:rFonts w:cs="Arial"/>
          <w:bCs/>
        </w:rPr>
        <w:t>,</w:t>
      </w:r>
      <w:r>
        <w:rPr>
          <w:rFonts w:cs="Arial"/>
          <w:bCs/>
        </w:rPr>
        <w:t xml:space="preserve"> and details of their roles are set out below.   Other parties required to play their part in the fund management process are bankers, custodians, investment managers, auditors and legal, investment and governance advisors, along with the Local Pensions Board created under the Public Service Pensions Act 2013.     </w:t>
      </w:r>
    </w:p>
    <w:p w14:paraId="1D432D7D" w14:textId="77777777" w:rsidR="00DA0F2B" w:rsidRDefault="00DA0F2B" w:rsidP="005321A1">
      <w:pPr>
        <w:pStyle w:val="Heading10"/>
      </w:pPr>
    </w:p>
    <w:p w14:paraId="4437148D" w14:textId="31CC3C18" w:rsidR="005321A1" w:rsidRDefault="0020031B" w:rsidP="005321A1">
      <w:pPr>
        <w:pStyle w:val="Heading10"/>
      </w:pPr>
      <w:r>
        <w:t xml:space="preserve">KEy </w:t>
      </w:r>
      <w:r w:rsidR="00235C3F">
        <w:t>parties to the FSS</w:t>
      </w:r>
    </w:p>
    <w:p w14:paraId="1D0D387E" w14:textId="77777777" w:rsidR="00B01CB6" w:rsidRDefault="00B01CB6" w:rsidP="007B121E">
      <w:pPr>
        <w:spacing w:after="120"/>
        <w:jc w:val="both"/>
        <w:rPr>
          <w:rFonts w:cs="Arial"/>
          <w:bCs/>
        </w:rPr>
      </w:pPr>
    </w:p>
    <w:p w14:paraId="640D0B80" w14:textId="3853A179" w:rsidR="007B121E" w:rsidRPr="00955A1B" w:rsidRDefault="007B121E" w:rsidP="007B121E">
      <w:pPr>
        <w:spacing w:after="120"/>
        <w:jc w:val="both"/>
        <w:rPr>
          <w:rFonts w:cs="Arial"/>
        </w:rPr>
      </w:pPr>
      <w:r w:rsidRPr="004F6E29">
        <w:rPr>
          <w:rFonts w:cs="Arial"/>
          <w:bCs/>
        </w:rPr>
        <w:t>The</w:t>
      </w:r>
      <w:r w:rsidRPr="00955A1B">
        <w:rPr>
          <w:rFonts w:cs="Arial"/>
          <w:b/>
          <w:bCs/>
        </w:rPr>
        <w:t xml:space="preserve"> </w:t>
      </w:r>
      <w:r w:rsidRPr="004F6E29">
        <w:rPr>
          <w:b/>
          <w:color w:val="00A8C8"/>
          <w:spacing w:val="5"/>
          <w:szCs w:val="22"/>
          <w:lang w:val="en-GB"/>
        </w:rPr>
        <w:t>Administering Authority</w:t>
      </w:r>
      <w:r w:rsidRPr="00955A1B">
        <w:rPr>
          <w:rFonts w:cs="Arial"/>
          <w:b/>
          <w:bCs/>
        </w:rPr>
        <w:t xml:space="preserve"> </w:t>
      </w:r>
      <w:r w:rsidRPr="00955A1B">
        <w:rPr>
          <w:rFonts w:cs="Arial"/>
        </w:rPr>
        <w:t>should:</w:t>
      </w:r>
    </w:p>
    <w:p w14:paraId="35D91CC2" w14:textId="0297C667" w:rsidR="00235C3F" w:rsidRDefault="00235C3F" w:rsidP="00E960F3">
      <w:pPr>
        <w:pStyle w:val="Bullet1"/>
      </w:pPr>
      <w:r>
        <w:t>operate the pension fund</w:t>
      </w:r>
    </w:p>
    <w:p w14:paraId="637F14AD" w14:textId="44B3E28B" w:rsidR="007B121E" w:rsidRDefault="007B121E" w:rsidP="00E960F3">
      <w:pPr>
        <w:pStyle w:val="Bullet1"/>
      </w:pPr>
      <w:r w:rsidRPr="00955A1B">
        <w:t>collect employer and employee contributions</w:t>
      </w:r>
      <w:r w:rsidR="009E0BE0">
        <w:t>, investment income and other amounts due to the pension fund as stipulated in the Regulations</w:t>
      </w:r>
    </w:p>
    <w:p w14:paraId="4406C557" w14:textId="52CD6216" w:rsidR="009E0BE0" w:rsidRPr="00955A1B" w:rsidRDefault="009E0BE0" w:rsidP="00E960F3">
      <w:pPr>
        <w:pStyle w:val="Bullet1"/>
      </w:pPr>
      <w:r>
        <w:t>pay from the pension fund the relevant entitlements as stipulated in the Regulations</w:t>
      </w:r>
    </w:p>
    <w:p w14:paraId="1D490F42" w14:textId="2116D027" w:rsidR="007B121E" w:rsidRPr="00955A1B" w:rsidRDefault="007B121E" w:rsidP="00E960F3">
      <w:pPr>
        <w:pStyle w:val="Bullet1"/>
      </w:pPr>
      <w:r w:rsidRPr="00955A1B">
        <w:t xml:space="preserve">invest surplus monies in accordance </w:t>
      </w:r>
      <w:r w:rsidR="009E0BE0">
        <w:t>the Regulations</w:t>
      </w:r>
    </w:p>
    <w:p w14:paraId="16DB2BB9" w14:textId="77777777" w:rsidR="007B121E" w:rsidRPr="00955A1B" w:rsidRDefault="007B121E" w:rsidP="00E960F3">
      <w:pPr>
        <w:pStyle w:val="Bullet1"/>
      </w:pPr>
      <w:r w:rsidRPr="00955A1B">
        <w:t>ensure that cash is available to meet liabilities as and when they fall due</w:t>
      </w:r>
    </w:p>
    <w:p w14:paraId="16A7FAB9" w14:textId="454A4354" w:rsidR="00840C9D" w:rsidRDefault="00840C9D" w:rsidP="00E960F3">
      <w:pPr>
        <w:pStyle w:val="Bullet1"/>
      </w:pPr>
      <w:r>
        <w:t>take measures as set out in the Regulations to safeguard the fund against the consequences of employer default</w:t>
      </w:r>
    </w:p>
    <w:p w14:paraId="71291C64" w14:textId="417E0D72" w:rsidR="007B121E" w:rsidRPr="00955A1B" w:rsidRDefault="007B121E" w:rsidP="00E960F3">
      <w:pPr>
        <w:pStyle w:val="Bullet1"/>
      </w:pPr>
      <w:r w:rsidRPr="00955A1B">
        <w:t xml:space="preserve">manage the valuation process in consultation with the </w:t>
      </w:r>
      <w:r w:rsidR="00840C9D">
        <w:t xml:space="preserve">Fund’s </w:t>
      </w:r>
      <w:r w:rsidRPr="00955A1B">
        <w:t>actuary</w:t>
      </w:r>
    </w:p>
    <w:p w14:paraId="51330D68" w14:textId="0901BDB0" w:rsidR="007B121E" w:rsidRPr="00955A1B" w:rsidRDefault="007B121E" w:rsidP="00E960F3">
      <w:pPr>
        <w:pStyle w:val="Bullet1"/>
      </w:pPr>
      <w:r w:rsidRPr="00955A1B">
        <w:t>prepare and maintain a FSS and a</w:t>
      </w:r>
      <w:r w:rsidR="007D74ED">
        <w:t>n</w:t>
      </w:r>
      <w:r w:rsidRPr="00955A1B">
        <w:t xml:space="preserve"> </w:t>
      </w:r>
      <w:r w:rsidR="00CE28F5" w:rsidRPr="00667CD7">
        <w:t>ISS</w:t>
      </w:r>
      <w:r w:rsidRPr="00955A1B">
        <w:t xml:space="preserve">, both after </w:t>
      </w:r>
      <w:r w:rsidR="00840C9D">
        <w:t>proper</w:t>
      </w:r>
      <w:r w:rsidRPr="00955A1B">
        <w:t xml:space="preserve"> consultation with interested parties, and</w:t>
      </w:r>
    </w:p>
    <w:p w14:paraId="2E9629F8" w14:textId="076DD7E6" w:rsidR="007B121E" w:rsidRDefault="007B121E" w:rsidP="00E960F3">
      <w:pPr>
        <w:pStyle w:val="Bullet1"/>
      </w:pPr>
      <w:r w:rsidRPr="00955A1B">
        <w:t xml:space="preserve">monitor all aspects of the </w:t>
      </w:r>
      <w:r w:rsidR="00177D13">
        <w:rPr>
          <w:rFonts w:cs="Arial"/>
        </w:rPr>
        <w:t>Fund</w:t>
      </w:r>
      <w:r w:rsidR="00840C9D">
        <w:t>’s</w:t>
      </w:r>
      <w:r w:rsidRPr="00955A1B">
        <w:t xml:space="preserve"> performance and funding, am</w:t>
      </w:r>
      <w:r w:rsidR="00E960F3">
        <w:t>ending the FSS/</w:t>
      </w:r>
      <w:r w:rsidR="00CE28F5" w:rsidRPr="00667CD7">
        <w:t>ISS</w:t>
      </w:r>
      <w:r w:rsidR="00E960F3">
        <w:t xml:space="preserve"> as necessary</w:t>
      </w:r>
    </w:p>
    <w:p w14:paraId="529C04CF" w14:textId="531540DC" w:rsidR="00840C9D" w:rsidRDefault="00840C9D" w:rsidP="00E960F3">
      <w:pPr>
        <w:pStyle w:val="Bullet1"/>
      </w:pPr>
      <w:r>
        <w:t xml:space="preserve">effectively manage any potential conflicts of interest arising from its dual role as both fund administrator and a </w:t>
      </w:r>
      <w:r w:rsidR="00177D13">
        <w:t>Fund</w:t>
      </w:r>
      <w:r>
        <w:t xml:space="preserve"> employer, and </w:t>
      </w:r>
    </w:p>
    <w:p w14:paraId="7ECF4984" w14:textId="5EEA78A8" w:rsidR="00E960F3" w:rsidRPr="00A67EE3" w:rsidRDefault="00E960F3" w:rsidP="00E960F3">
      <w:pPr>
        <w:pStyle w:val="Bullet1"/>
      </w:pPr>
      <w:r w:rsidRPr="00A67EE3">
        <w:t>establish, support and monitor a Local Pension Board (LPB) as required by the Public Service Pensions Act 2013, the Regulations and the Pensions Regulator’s relevant Code of Practice.</w:t>
      </w:r>
    </w:p>
    <w:p w14:paraId="0C7AC059" w14:textId="77777777" w:rsidR="00E960F3" w:rsidRPr="00955A1B" w:rsidRDefault="00E960F3" w:rsidP="00E960F3">
      <w:pPr>
        <w:pStyle w:val="Bullet1"/>
        <w:numPr>
          <w:ilvl w:val="0"/>
          <w:numId w:val="0"/>
        </w:numPr>
        <w:ind w:left="288"/>
      </w:pPr>
    </w:p>
    <w:p w14:paraId="51D4EB1B" w14:textId="77777777" w:rsidR="007B121E" w:rsidRPr="00955A1B" w:rsidRDefault="007B121E" w:rsidP="007B121E">
      <w:pPr>
        <w:spacing w:after="120"/>
        <w:jc w:val="both"/>
        <w:rPr>
          <w:rFonts w:cs="Arial"/>
        </w:rPr>
      </w:pPr>
      <w:r w:rsidRPr="004F6E29">
        <w:rPr>
          <w:rFonts w:cs="Arial"/>
          <w:bCs/>
        </w:rPr>
        <w:t>The</w:t>
      </w:r>
      <w:r w:rsidRPr="00955A1B">
        <w:rPr>
          <w:rFonts w:cs="Arial"/>
          <w:b/>
          <w:bCs/>
        </w:rPr>
        <w:t xml:space="preserve"> </w:t>
      </w:r>
      <w:r w:rsidRPr="004F6E29">
        <w:rPr>
          <w:b/>
          <w:color w:val="00A8C8"/>
          <w:spacing w:val="5"/>
          <w:szCs w:val="22"/>
          <w:lang w:val="en-GB"/>
        </w:rPr>
        <w:t>Individual Employer</w:t>
      </w:r>
      <w:r w:rsidRPr="00955A1B">
        <w:rPr>
          <w:rFonts w:cs="Arial"/>
        </w:rPr>
        <w:t xml:space="preserve"> should:</w:t>
      </w:r>
    </w:p>
    <w:p w14:paraId="704C46BE" w14:textId="77777777" w:rsidR="007B121E" w:rsidRPr="00955A1B" w:rsidRDefault="007B121E" w:rsidP="00E960F3">
      <w:pPr>
        <w:pStyle w:val="Bullet1"/>
      </w:pPr>
      <w:r w:rsidRPr="00955A1B">
        <w:t>deduct contributions from employees’ pay correctly</w:t>
      </w:r>
      <w:r>
        <w:t xml:space="preserve"> after determining the appropriate employee contribution rate (in accordance with the Regulations)</w:t>
      </w:r>
    </w:p>
    <w:p w14:paraId="3942E25B" w14:textId="77777777" w:rsidR="007B121E" w:rsidRPr="00955A1B" w:rsidRDefault="007B121E" w:rsidP="00E960F3">
      <w:pPr>
        <w:pStyle w:val="Bullet1"/>
      </w:pPr>
      <w:r w:rsidRPr="00955A1B">
        <w:t>pay all contributions, including their own as determined by the actuary, promptly by the due date</w:t>
      </w:r>
    </w:p>
    <w:p w14:paraId="55F29626" w14:textId="49277B18" w:rsidR="007B121E" w:rsidRPr="00955A1B" w:rsidRDefault="007B7100" w:rsidP="00E960F3">
      <w:pPr>
        <w:pStyle w:val="Bullet1"/>
      </w:pPr>
      <w:r>
        <w:t xml:space="preserve">develop a policy on certain discretions and </w:t>
      </w:r>
      <w:r w:rsidR="007B121E" w:rsidRPr="00955A1B">
        <w:t xml:space="preserve">exercise </w:t>
      </w:r>
      <w:r>
        <w:t xml:space="preserve">those </w:t>
      </w:r>
      <w:r w:rsidR="007B121E" w:rsidRPr="00955A1B">
        <w:t xml:space="preserve">discretions </w:t>
      </w:r>
      <w:r>
        <w:t xml:space="preserve">as permitted </w:t>
      </w:r>
      <w:r w:rsidR="007B121E" w:rsidRPr="00955A1B">
        <w:t>within the regulatory framework</w:t>
      </w:r>
    </w:p>
    <w:p w14:paraId="56770885" w14:textId="7553C588" w:rsidR="007B121E" w:rsidRPr="00955A1B" w:rsidRDefault="007B121E" w:rsidP="00E960F3">
      <w:pPr>
        <w:pStyle w:val="Bullet1"/>
      </w:pPr>
      <w:r w:rsidRPr="00955A1B">
        <w:t xml:space="preserve">make additional contributions in accordance with agreed arrangements in respect of, for example, augmentation of </w:t>
      </w:r>
      <w:r w:rsidR="00177D13">
        <w:t>Fund</w:t>
      </w:r>
      <w:r w:rsidRPr="00955A1B">
        <w:t xml:space="preserve"> benefits, early retirement strain, and</w:t>
      </w:r>
    </w:p>
    <w:p w14:paraId="5E4AEC8E" w14:textId="77777777" w:rsidR="007B7100" w:rsidRDefault="007B7100" w:rsidP="00E960F3">
      <w:pPr>
        <w:pStyle w:val="Bullet1"/>
      </w:pPr>
      <w:r>
        <w:t xml:space="preserve">have regard to the Pensions Regulator’s focus on data quality and comply with any requirement set by the Administering Authority in this context, and </w:t>
      </w:r>
    </w:p>
    <w:p w14:paraId="2F8EB28E" w14:textId="783B64F1" w:rsidR="007B121E" w:rsidRDefault="007B7100" w:rsidP="00E960F3">
      <w:pPr>
        <w:pStyle w:val="Bullet1"/>
      </w:pPr>
      <w:r>
        <w:t>n</w:t>
      </w:r>
      <w:r w:rsidR="007B121E" w:rsidRPr="00955A1B">
        <w:t>otify the Administering Authority promptly of any changes to membership which may affect future funding</w:t>
      </w:r>
      <w:r>
        <w:t>.</w:t>
      </w:r>
    </w:p>
    <w:p w14:paraId="5C31C41D" w14:textId="77777777" w:rsidR="00E960F3" w:rsidRPr="00597A93" w:rsidRDefault="00E960F3" w:rsidP="00E960F3">
      <w:pPr>
        <w:pStyle w:val="Bullet1"/>
        <w:numPr>
          <w:ilvl w:val="0"/>
          <w:numId w:val="0"/>
        </w:numPr>
        <w:ind w:left="288"/>
      </w:pPr>
    </w:p>
    <w:p w14:paraId="1064BC11" w14:textId="77777777" w:rsidR="007B121E" w:rsidRPr="00955A1B" w:rsidRDefault="007B121E" w:rsidP="007B121E">
      <w:pPr>
        <w:spacing w:after="120"/>
        <w:jc w:val="both"/>
        <w:rPr>
          <w:rFonts w:cs="Arial"/>
        </w:rPr>
      </w:pPr>
      <w:r w:rsidRPr="004F6E29">
        <w:rPr>
          <w:rFonts w:cs="Arial"/>
          <w:bCs/>
        </w:rPr>
        <w:t>The</w:t>
      </w:r>
      <w:r w:rsidRPr="00955A1B">
        <w:rPr>
          <w:rFonts w:cs="Arial"/>
          <w:b/>
          <w:bCs/>
        </w:rPr>
        <w:t xml:space="preserve"> </w:t>
      </w:r>
      <w:r w:rsidRPr="004F6E29">
        <w:rPr>
          <w:b/>
          <w:color w:val="00A8C8"/>
          <w:spacing w:val="5"/>
          <w:szCs w:val="22"/>
          <w:lang w:val="en-GB"/>
        </w:rPr>
        <w:t>Fund Actuary</w:t>
      </w:r>
      <w:r w:rsidRPr="00955A1B">
        <w:rPr>
          <w:rFonts w:cs="Arial"/>
        </w:rPr>
        <w:t xml:space="preserve"> should:</w:t>
      </w:r>
    </w:p>
    <w:p w14:paraId="038FA0C9" w14:textId="625FAC99" w:rsidR="007B121E" w:rsidRPr="00955A1B" w:rsidRDefault="007B121E" w:rsidP="00E960F3">
      <w:pPr>
        <w:pStyle w:val="Bullet1"/>
      </w:pPr>
      <w:r w:rsidRPr="00955A1B">
        <w:t xml:space="preserve">prepare valuations including the setting of employers’ contribution rates </w:t>
      </w:r>
      <w:r w:rsidR="00A118E0">
        <w:t xml:space="preserve">at a level to ensure fund solvency after agreeing assumptions with the </w:t>
      </w:r>
      <w:r w:rsidRPr="00955A1B">
        <w:t>Administering Authority and having regard to the</w:t>
      </w:r>
      <w:r>
        <w:t>ir</w:t>
      </w:r>
      <w:r w:rsidRPr="00955A1B">
        <w:t xml:space="preserve"> FSS</w:t>
      </w:r>
      <w:r w:rsidR="00A118E0">
        <w:t xml:space="preserve"> and the Regulations</w:t>
      </w:r>
    </w:p>
    <w:p w14:paraId="3817F2DF" w14:textId="0AC6949C" w:rsidR="007B121E" w:rsidRDefault="007B121E" w:rsidP="00E960F3">
      <w:pPr>
        <w:pStyle w:val="Bullet1"/>
      </w:pPr>
      <w:r w:rsidRPr="00955A1B">
        <w:t>prepare advice and calculations in connection with bulk transfers and individual benefit-related matters</w:t>
      </w:r>
      <w:r w:rsidR="00A118E0">
        <w:t xml:space="preserve"> such as pension strain costs</w:t>
      </w:r>
      <w:r w:rsidRPr="00955A1B">
        <w:t>,</w:t>
      </w:r>
      <w:r w:rsidR="00A118E0">
        <w:t xml:space="preserve"> ill health retirement costs etc</w:t>
      </w:r>
      <w:r w:rsidRPr="00955A1B">
        <w:t xml:space="preserve"> </w:t>
      </w:r>
    </w:p>
    <w:p w14:paraId="72AEFDBB" w14:textId="4F459C1F" w:rsidR="00A118E0" w:rsidRDefault="00A118E0" w:rsidP="00E960F3">
      <w:pPr>
        <w:pStyle w:val="Bullet1"/>
      </w:pPr>
      <w:r>
        <w:t>provide advice and valuations on the termination of admission agreements</w:t>
      </w:r>
    </w:p>
    <w:p w14:paraId="7F3FD7C5" w14:textId="5D37588A" w:rsidR="00A118E0" w:rsidRDefault="00A118E0" w:rsidP="00E960F3">
      <w:pPr>
        <w:pStyle w:val="Bullet1"/>
      </w:pPr>
      <w:r>
        <w:t xml:space="preserve">provide advice to the Administering Authority on bonds and other forms of security against the financial effect on the </w:t>
      </w:r>
      <w:r w:rsidR="00177D13">
        <w:rPr>
          <w:rFonts w:cs="Arial"/>
        </w:rPr>
        <w:t>Fund</w:t>
      </w:r>
      <w:r>
        <w:t xml:space="preserve"> of employer default</w:t>
      </w:r>
    </w:p>
    <w:p w14:paraId="014679C3" w14:textId="7DE6960C" w:rsidR="00A118E0" w:rsidRPr="00955A1B" w:rsidRDefault="00A118E0" w:rsidP="00E960F3">
      <w:pPr>
        <w:pStyle w:val="Bullet1"/>
      </w:pPr>
      <w:r>
        <w:t>assist the Administering Authority in assessing whether employer contributions need to be revised between valuations as required by the Regulations</w:t>
      </w:r>
    </w:p>
    <w:p w14:paraId="09CD232A" w14:textId="1D939A55" w:rsidR="007B121E" w:rsidRDefault="007B121E" w:rsidP="00E960F3">
      <w:pPr>
        <w:pStyle w:val="Bullet1"/>
      </w:pPr>
      <w:r w:rsidRPr="00955A1B">
        <w:t xml:space="preserve">advise on funding strategy, the preparation of the FSS and the inter-relationship between the FSS and the </w:t>
      </w:r>
      <w:r w:rsidR="00A118E0" w:rsidRPr="007B7701">
        <w:t>ISS</w:t>
      </w:r>
      <w:r w:rsidR="00A118E0">
        <w:t>, and</w:t>
      </w:r>
    </w:p>
    <w:p w14:paraId="2009432F" w14:textId="2488A89F" w:rsidR="00A118E0" w:rsidRDefault="00A118E0" w:rsidP="00E960F3">
      <w:pPr>
        <w:pStyle w:val="Bullet1"/>
      </w:pPr>
      <w:r>
        <w:t xml:space="preserve">ensure the Administering Authority is aware of any professional guidance or other professional requirements which may be of relevance to the Fund Actuary’s role in advising the </w:t>
      </w:r>
      <w:r w:rsidR="00177D13">
        <w:rPr>
          <w:rFonts w:cs="Arial"/>
        </w:rPr>
        <w:t>Fund</w:t>
      </w:r>
      <w:r>
        <w:t>.</w:t>
      </w:r>
    </w:p>
    <w:p w14:paraId="4A425981" w14:textId="77777777" w:rsidR="0036578B" w:rsidRDefault="0036578B" w:rsidP="0036578B">
      <w:pPr>
        <w:spacing w:after="120"/>
        <w:jc w:val="both"/>
        <w:rPr>
          <w:rFonts w:cs="Arial"/>
          <w:bCs/>
        </w:rPr>
      </w:pPr>
    </w:p>
    <w:p w14:paraId="4F609B88" w14:textId="723FE23A" w:rsidR="003E3221" w:rsidRDefault="00C5449A" w:rsidP="00C5449A">
      <w:pPr>
        <w:pStyle w:val="SectionNumber"/>
      </w:pPr>
      <w:r>
        <w:t>5</w:t>
      </w:r>
    </w:p>
    <w:p w14:paraId="7AE65B0C" w14:textId="0DBE2111" w:rsidR="00C5449A" w:rsidRDefault="00C5449A" w:rsidP="00C5449A">
      <w:pPr>
        <w:pStyle w:val="SectionHeading"/>
      </w:pPr>
      <w:bookmarkStart w:id="6" w:name="_Toc453168465"/>
      <w:r>
        <w:t xml:space="preserve">Solvency </w:t>
      </w:r>
      <w:r w:rsidR="00F341EC">
        <w:t>funding</w:t>
      </w:r>
      <w:r>
        <w:t xml:space="preserve"> target</w:t>
      </w:r>
      <w:bookmarkEnd w:id="6"/>
    </w:p>
    <w:p w14:paraId="79330263" w14:textId="53D4CDFD" w:rsidR="004535FC" w:rsidRDefault="004346A0" w:rsidP="00D55DA2">
      <w:pPr>
        <w:rPr>
          <w:rFonts w:cs="Arial"/>
        </w:rPr>
      </w:pPr>
      <w:r>
        <w:rPr>
          <w:rFonts w:cs="Arial"/>
        </w:rPr>
        <w:t xml:space="preserve">Securing the “solvency” and “long term cost efficiency” is a regulatory requirement. To meet these </w:t>
      </w:r>
      <w:r w:rsidR="004535FC" w:rsidRPr="009A05AB">
        <w:rPr>
          <w:rFonts w:cs="Arial"/>
        </w:rPr>
        <w:t xml:space="preserve">requirements the Administering Authority’s long term funding objective is for the </w:t>
      </w:r>
      <w:r w:rsidR="00177D13">
        <w:rPr>
          <w:rFonts w:cs="Arial"/>
        </w:rPr>
        <w:t>Fund</w:t>
      </w:r>
      <w:r w:rsidR="004535FC" w:rsidRPr="009A05AB">
        <w:rPr>
          <w:rFonts w:cs="Arial"/>
        </w:rPr>
        <w:t xml:space="preserve"> to achieve and then maintain sufficient assets to cover 100% of</w:t>
      </w:r>
      <w:r w:rsidR="00D55DA2">
        <w:rPr>
          <w:rFonts w:cs="Arial"/>
        </w:rPr>
        <w:t xml:space="preserve"> projected accrued liabilities (the “</w:t>
      </w:r>
      <w:r w:rsidR="00D55DA2" w:rsidRPr="00F341EC">
        <w:rPr>
          <w:rFonts w:cs="Arial"/>
        </w:rPr>
        <w:t>funding target</w:t>
      </w:r>
      <w:r w:rsidR="00D55DA2">
        <w:rPr>
          <w:rFonts w:cs="Arial"/>
        </w:rPr>
        <w:t xml:space="preserve">”) </w:t>
      </w:r>
      <w:r w:rsidR="004535FC" w:rsidRPr="009A05AB">
        <w:rPr>
          <w:rFonts w:cs="Arial"/>
        </w:rPr>
        <w:t>assessed on an ongoing</w:t>
      </w:r>
      <w:r w:rsidR="004535FC">
        <w:rPr>
          <w:rFonts w:cs="Arial"/>
        </w:rPr>
        <w:t xml:space="preserve"> past service</w:t>
      </w:r>
      <w:r w:rsidR="004535FC" w:rsidRPr="009A05AB">
        <w:rPr>
          <w:rFonts w:cs="Arial"/>
        </w:rPr>
        <w:t xml:space="preserve"> basis including allowance for projected final pay</w:t>
      </w:r>
      <w:r w:rsidR="004535FC">
        <w:rPr>
          <w:rFonts w:cs="Arial"/>
        </w:rPr>
        <w:t xml:space="preserve"> where appropriate</w:t>
      </w:r>
      <w:r w:rsidR="004535FC" w:rsidRPr="009A05AB">
        <w:rPr>
          <w:rFonts w:cs="Arial"/>
        </w:rPr>
        <w:t>.</w:t>
      </w:r>
      <w:r w:rsidR="004535FC">
        <w:rPr>
          <w:rFonts w:cs="Arial"/>
        </w:rPr>
        <w:t xml:space="preserve"> </w:t>
      </w:r>
      <w:r w:rsidR="004535FC" w:rsidRPr="002B0690">
        <w:rPr>
          <w:rFonts w:cs="Arial"/>
        </w:rPr>
        <w:t xml:space="preserve">In the long term, </w:t>
      </w:r>
      <w:r w:rsidR="005A4C71">
        <w:rPr>
          <w:rFonts w:cs="Arial"/>
        </w:rPr>
        <w:t>an</w:t>
      </w:r>
      <w:r w:rsidR="005A4C71" w:rsidRPr="002B0690">
        <w:rPr>
          <w:rFonts w:cs="Arial"/>
        </w:rPr>
        <w:t xml:space="preserve"> </w:t>
      </w:r>
      <w:r w:rsidR="004535FC" w:rsidRPr="002B0690">
        <w:rPr>
          <w:rFonts w:cs="Arial"/>
        </w:rPr>
        <w:t>employer</w:t>
      </w:r>
      <w:r w:rsidR="005A4C71">
        <w:rPr>
          <w:rFonts w:cs="Arial"/>
        </w:rPr>
        <w:t>’s</w:t>
      </w:r>
      <w:r w:rsidR="004535FC" w:rsidRPr="002B0690">
        <w:rPr>
          <w:rFonts w:cs="Arial"/>
        </w:rPr>
        <w:t xml:space="preserve"> </w:t>
      </w:r>
      <w:r w:rsidR="005A4C71">
        <w:rPr>
          <w:rFonts w:cs="Arial"/>
        </w:rPr>
        <w:t xml:space="preserve">total contribution </w:t>
      </w:r>
      <w:r w:rsidR="004535FC" w:rsidRPr="002B0690">
        <w:rPr>
          <w:rFonts w:cs="Arial"/>
        </w:rPr>
        <w:t xml:space="preserve">rate would ultimately revert to </w:t>
      </w:r>
      <w:r w:rsidR="00CB772D">
        <w:rPr>
          <w:rFonts w:cs="Arial"/>
        </w:rPr>
        <w:t>its</w:t>
      </w:r>
      <w:r w:rsidR="00CB772D" w:rsidRPr="002B0690">
        <w:rPr>
          <w:rFonts w:cs="Arial"/>
        </w:rPr>
        <w:t xml:space="preserve"> </w:t>
      </w:r>
      <w:r w:rsidR="00F341EC">
        <w:rPr>
          <w:rFonts w:cs="Arial"/>
        </w:rPr>
        <w:t xml:space="preserve">Primary </w:t>
      </w:r>
      <w:r w:rsidR="005A4C71">
        <w:rPr>
          <w:rFonts w:cs="Arial"/>
        </w:rPr>
        <w:t>r</w:t>
      </w:r>
      <w:r w:rsidR="005A4C71" w:rsidRPr="002B0690">
        <w:rPr>
          <w:rFonts w:cs="Arial"/>
        </w:rPr>
        <w:t>ate</w:t>
      </w:r>
      <w:r w:rsidR="005A4C71">
        <w:rPr>
          <w:rFonts w:cs="Arial"/>
        </w:rPr>
        <w:t xml:space="preserve"> </w:t>
      </w:r>
      <w:r w:rsidR="00F341EC">
        <w:rPr>
          <w:rFonts w:cs="Arial"/>
        </w:rPr>
        <w:t>of contribution</w:t>
      </w:r>
      <w:r w:rsidR="004535FC" w:rsidRPr="002B0690">
        <w:rPr>
          <w:rFonts w:cs="Arial"/>
        </w:rPr>
        <w:t>.</w:t>
      </w:r>
    </w:p>
    <w:p w14:paraId="31DC9BE4" w14:textId="03BF7809" w:rsidR="004346A0" w:rsidRDefault="004346A0" w:rsidP="004346A0">
      <w:pPr>
        <w:pStyle w:val="Heading10"/>
      </w:pPr>
      <w:r>
        <w:t>S</w:t>
      </w:r>
      <w:r w:rsidR="00050371">
        <w:t>olvency and Long Term Efficiency</w:t>
      </w:r>
    </w:p>
    <w:p w14:paraId="3AA724C7" w14:textId="669E3C0C" w:rsidR="00F341EC" w:rsidRDefault="00F341EC" w:rsidP="00F341EC">
      <w:pPr>
        <w:pStyle w:val="DocumentText"/>
      </w:pPr>
      <w:r>
        <w:t xml:space="preserve">Each employer’s contributions are set at such a level to achieve full solvency in a reasonable timeframe.  Solvency is defined as a level where the </w:t>
      </w:r>
      <w:r w:rsidR="00177D13">
        <w:rPr>
          <w:rFonts w:cs="Arial"/>
        </w:rPr>
        <w:t>Fund</w:t>
      </w:r>
      <w:r>
        <w:t xml:space="preserve">’s liabilities i.e. benefit payments can be reasonably met as they arise. </w:t>
      </w:r>
    </w:p>
    <w:p w14:paraId="393AC8F9" w14:textId="6CBC73E2" w:rsidR="00F341EC" w:rsidRDefault="00F341EC" w:rsidP="00F341EC">
      <w:pPr>
        <w:pStyle w:val="DocumentText"/>
      </w:pPr>
      <w:r>
        <w:t xml:space="preserve">Employer contributions are also set in order to achieve long term cost efficiency. </w:t>
      </w:r>
      <w:r w:rsidRPr="00506D31">
        <w:t>Long</w:t>
      </w:r>
      <w:r w:rsidR="00762C4C">
        <w:t xml:space="preserve"> </w:t>
      </w:r>
      <w:r w:rsidRPr="00506D31">
        <w:t xml:space="preserve">term cost-efficiency implies that </w:t>
      </w:r>
      <w:r w:rsidR="00566453">
        <w:t>contributions</w:t>
      </w:r>
      <w:r w:rsidRPr="00506D31">
        <w:t xml:space="preserve"> must not be set at a level that </w:t>
      </w:r>
      <w:r>
        <w:t>is likely to give</w:t>
      </w:r>
      <w:r w:rsidRPr="00506D31">
        <w:t xml:space="preserve"> rise to additional costs</w:t>
      </w:r>
      <w:r>
        <w:t xml:space="preserve"> in the future</w:t>
      </w:r>
      <w:r w:rsidRPr="00506D31">
        <w:t xml:space="preserve">. For example, deferring costs to the future would be likely to result in those costs being greater overall than if they were provided for at the </w:t>
      </w:r>
      <w:r>
        <w:t xml:space="preserve">appropriate </w:t>
      </w:r>
      <w:r w:rsidRPr="00506D31">
        <w:t>time.</w:t>
      </w:r>
      <w:r>
        <w:t xml:space="preserve"> </w:t>
      </w:r>
    </w:p>
    <w:p w14:paraId="6262100E" w14:textId="6F3B6F8B" w:rsidR="00F33000" w:rsidRPr="00F33000" w:rsidRDefault="00F341EC" w:rsidP="00F341EC">
      <w:pPr>
        <w:pStyle w:val="BodyIndent"/>
        <w:tabs>
          <w:tab w:val="clear" w:pos="567"/>
          <w:tab w:val="left" w:pos="709"/>
        </w:tabs>
        <w:ind w:left="0"/>
        <w:rPr>
          <w:rFonts w:cs="Arial"/>
        </w:rPr>
      </w:pPr>
      <w:r w:rsidRPr="002B389F">
        <w:rPr>
          <w:rFonts w:ascii="Arial" w:eastAsia="Times New Roman" w:hAnsi="Arial" w:cs="Times New Roman"/>
          <w:color w:val="7C848A"/>
          <w:sz w:val="22"/>
          <w:szCs w:val="22"/>
          <w:lang w:eastAsia="en-US"/>
        </w:rPr>
        <w:t xml:space="preserve">When formulating the funding strategy the Administering Authority has taken into account these key objectives and also considered the implications of the </w:t>
      </w:r>
      <w:r>
        <w:rPr>
          <w:rFonts w:ascii="Arial" w:eastAsia="Times New Roman" w:hAnsi="Arial" w:cs="Times New Roman"/>
          <w:color w:val="7C848A"/>
          <w:sz w:val="22"/>
          <w:szCs w:val="22"/>
          <w:lang w:eastAsia="en-US"/>
        </w:rPr>
        <w:t>requirements under</w:t>
      </w:r>
      <w:r w:rsidRPr="002B389F">
        <w:rPr>
          <w:rFonts w:ascii="Arial" w:eastAsia="Times New Roman" w:hAnsi="Arial" w:cs="Times New Roman"/>
          <w:color w:val="7C848A"/>
          <w:sz w:val="22"/>
          <w:szCs w:val="22"/>
          <w:lang w:eastAsia="en-US"/>
        </w:rPr>
        <w:t xml:space="preserve"> Section 13(4)(c) of the Public Service Pensions Act 2013</w:t>
      </w:r>
      <w:r>
        <w:rPr>
          <w:rFonts w:ascii="Arial" w:eastAsia="Times New Roman" w:hAnsi="Arial" w:cs="Times New Roman"/>
          <w:color w:val="7C848A"/>
          <w:sz w:val="22"/>
          <w:szCs w:val="22"/>
          <w:lang w:eastAsia="en-US"/>
        </w:rPr>
        <w:t>.  As part of these requirements t</w:t>
      </w:r>
      <w:r w:rsidRPr="002B389F">
        <w:rPr>
          <w:rFonts w:ascii="Arial" w:eastAsia="Times New Roman" w:hAnsi="Arial" w:cs="Times New Roman"/>
          <w:color w:val="7C848A"/>
          <w:sz w:val="22"/>
          <w:szCs w:val="22"/>
          <w:lang w:eastAsia="en-US"/>
        </w:rPr>
        <w:t>he Government Actuary’s Department (GAD) must, following an actuarial valuation, report on whether the rate of employer contr</w:t>
      </w:r>
      <w:r>
        <w:rPr>
          <w:rFonts w:ascii="Arial" w:eastAsia="Times New Roman" w:hAnsi="Arial" w:cs="Times New Roman"/>
          <w:color w:val="7C848A"/>
          <w:sz w:val="22"/>
          <w:szCs w:val="22"/>
          <w:lang w:eastAsia="en-US"/>
        </w:rPr>
        <w:t xml:space="preserve">ibutions to the </w:t>
      </w:r>
      <w:r w:rsidR="00177D13">
        <w:rPr>
          <w:rFonts w:ascii="Arial" w:eastAsia="Times New Roman" w:hAnsi="Arial" w:cs="Times New Roman"/>
          <w:color w:val="7C848A"/>
          <w:sz w:val="22"/>
          <w:szCs w:val="22"/>
          <w:lang w:eastAsia="en-US"/>
        </w:rPr>
        <w:t>Fund</w:t>
      </w:r>
      <w:r>
        <w:rPr>
          <w:rFonts w:ascii="Arial" w:eastAsia="Times New Roman" w:hAnsi="Arial" w:cs="Times New Roman"/>
          <w:color w:val="7C848A"/>
          <w:sz w:val="22"/>
          <w:szCs w:val="22"/>
          <w:lang w:eastAsia="en-US"/>
        </w:rPr>
        <w:t xml:space="preserve"> is</w:t>
      </w:r>
      <w:r w:rsidRPr="002B389F">
        <w:rPr>
          <w:rFonts w:ascii="Arial" w:eastAsia="Times New Roman" w:hAnsi="Arial" w:cs="Times New Roman"/>
          <w:color w:val="7C848A"/>
          <w:sz w:val="22"/>
          <w:szCs w:val="22"/>
          <w:lang w:eastAsia="en-US"/>
        </w:rPr>
        <w:t xml:space="preserve"> set at an appropriate level to ensure the “solvency” of the pension fund and “long term cost efficiency" of the </w:t>
      </w:r>
      <w:r w:rsidR="0092116C">
        <w:rPr>
          <w:rFonts w:ascii="Arial" w:eastAsia="Times New Roman" w:hAnsi="Arial" w:cs="Times New Roman"/>
          <w:color w:val="7C848A"/>
          <w:sz w:val="22"/>
          <w:szCs w:val="22"/>
          <w:lang w:eastAsia="en-US"/>
        </w:rPr>
        <w:t>LGPS</w:t>
      </w:r>
      <w:r w:rsidR="00177D13">
        <w:rPr>
          <w:rFonts w:ascii="Arial" w:eastAsia="Times New Roman" w:hAnsi="Arial" w:cs="Times New Roman"/>
          <w:color w:val="7C848A"/>
          <w:sz w:val="22"/>
          <w:szCs w:val="22"/>
          <w:lang w:eastAsia="en-US"/>
        </w:rPr>
        <w:t xml:space="preserve"> </w:t>
      </w:r>
      <w:r w:rsidRPr="002B389F">
        <w:rPr>
          <w:rFonts w:ascii="Arial" w:eastAsia="Times New Roman" w:hAnsi="Arial" w:cs="Times New Roman"/>
          <w:color w:val="7C848A"/>
          <w:sz w:val="22"/>
          <w:szCs w:val="22"/>
          <w:lang w:eastAsia="en-US"/>
        </w:rPr>
        <w:t>so far as relating to th</w:t>
      </w:r>
      <w:r w:rsidR="00F33000">
        <w:rPr>
          <w:rFonts w:ascii="Arial" w:eastAsia="Times New Roman" w:hAnsi="Arial" w:cs="Times New Roman"/>
          <w:color w:val="7C848A"/>
          <w:sz w:val="22"/>
          <w:szCs w:val="22"/>
          <w:lang w:eastAsia="en-US"/>
        </w:rPr>
        <w:t>e Fund.</w:t>
      </w:r>
    </w:p>
    <w:p w14:paraId="4F5C9392" w14:textId="77777777" w:rsidR="00F341EC" w:rsidRPr="002B389F" w:rsidRDefault="00F341EC" w:rsidP="00F341EC">
      <w:pPr>
        <w:pStyle w:val="BodyIndent"/>
        <w:tabs>
          <w:tab w:val="clear" w:pos="567"/>
          <w:tab w:val="left" w:pos="709"/>
        </w:tabs>
        <w:ind w:left="0"/>
        <w:rPr>
          <w:rFonts w:ascii="Arial" w:eastAsia="Times New Roman" w:hAnsi="Arial" w:cs="Times New Roman"/>
          <w:color w:val="7C848A"/>
          <w:sz w:val="22"/>
          <w:szCs w:val="22"/>
          <w:lang w:eastAsia="en-US"/>
        </w:rPr>
      </w:pPr>
    </w:p>
    <w:p w14:paraId="1A9A9D80" w14:textId="2BBCDAA4" w:rsidR="004346A0" w:rsidRPr="004346A0" w:rsidRDefault="004535FC" w:rsidP="004346A0">
      <w:pPr>
        <w:pStyle w:val="Heading10"/>
      </w:pPr>
      <w:r w:rsidRPr="003348EB">
        <w:t xml:space="preserve">Determination of the </w:t>
      </w:r>
      <w:r w:rsidR="00F341EC">
        <w:t xml:space="preserve">solvency </w:t>
      </w:r>
      <w:r w:rsidRPr="003348EB">
        <w:t>Fu</w:t>
      </w:r>
      <w:r w:rsidR="00F341EC">
        <w:t xml:space="preserve">nding Target and </w:t>
      </w:r>
      <w:r w:rsidR="0078043A">
        <w:t xml:space="preserve">deficit </w:t>
      </w:r>
      <w:r w:rsidR="00F341EC">
        <w:t>Recovery Plan</w:t>
      </w:r>
    </w:p>
    <w:p w14:paraId="62F6B056" w14:textId="45562D4C" w:rsidR="004535FC" w:rsidRPr="00A85C18" w:rsidRDefault="004535FC" w:rsidP="004535FC">
      <w:pPr>
        <w:tabs>
          <w:tab w:val="left" w:pos="0"/>
        </w:tabs>
        <w:jc w:val="both"/>
        <w:rPr>
          <w:rFonts w:cs="Arial"/>
        </w:rPr>
      </w:pPr>
      <w:r w:rsidRPr="00A85C18">
        <w:rPr>
          <w:rFonts w:cs="Arial"/>
        </w:rPr>
        <w:t xml:space="preserve">The principal method and assumptions to be used in the calculation of the funding target are set out in </w:t>
      </w:r>
      <w:r w:rsidRPr="00D55DA2">
        <w:rPr>
          <w:rFonts w:cs="Arial"/>
          <w:b/>
        </w:rPr>
        <w:t xml:space="preserve">Appendix </w:t>
      </w:r>
      <w:r w:rsidR="00D55DA2" w:rsidRPr="00D55DA2">
        <w:rPr>
          <w:rFonts w:cs="Arial"/>
          <w:b/>
        </w:rPr>
        <w:t>A</w:t>
      </w:r>
      <w:r w:rsidRPr="00A85C18">
        <w:rPr>
          <w:rFonts w:cs="Arial"/>
        </w:rPr>
        <w:t>.</w:t>
      </w:r>
      <w:r w:rsidR="00F341EC">
        <w:rPr>
          <w:rFonts w:cs="Arial"/>
        </w:rPr>
        <w:t xml:space="preserve">  The Employer Deficit Recovery Plans are set out in </w:t>
      </w:r>
      <w:r w:rsidR="00F341EC" w:rsidRPr="007D74ED">
        <w:rPr>
          <w:rFonts w:cs="Arial"/>
          <w:b/>
        </w:rPr>
        <w:t>Appendix B</w:t>
      </w:r>
      <w:r w:rsidR="00F341EC">
        <w:rPr>
          <w:rFonts w:cs="Arial"/>
        </w:rPr>
        <w:t>.</w:t>
      </w:r>
    </w:p>
    <w:p w14:paraId="145A2C5B" w14:textId="1C6DD476" w:rsidR="004535FC" w:rsidRPr="009A05AB" w:rsidRDefault="004535FC" w:rsidP="004535FC">
      <w:pPr>
        <w:tabs>
          <w:tab w:val="left" w:pos="0"/>
        </w:tabs>
        <w:jc w:val="both"/>
        <w:rPr>
          <w:rFonts w:cs="Arial"/>
        </w:rPr>
      </w:pPr>
      <w:r w:rsidRPr="009A05AB">
        <w:rPr>
          <w:rFonts w:cs="Arial"/>
        </w:rPr>
        <w:t>Underlying these assumptions are the following two tenets:</w:t>
      </w:r>
    </w:p>
    <w:p w14:paraId="3CF02CC1" w14:textId="38EABFCD" w:rsidR="004535FC" w:rsidRPr="004535FC" w:rsidRDefault="004535FC" w:rsidP="00D55DA2">
      <w:pPr>
        <w:pStyle w:val="Bullet1"/>
      </w:pPr>
      <w:r w:rsidRPr="00A07A45">
        <w:t xml:space="preserve">that the </w:t>
      </w:r>
      <w:r w:rsidR="00177D13">
        <w:rPr>
          <w:rFonts w:cs="Arial"/>
        </w:rPr>
        <w:t>Fund</w:t>
      </w:r>
      <w:r w:rsidRPr="00A07A45">
        <w:t xml:space="preserve"> is expected to continue for the foreseeable future; and</w:t>
      </w:r>
    </w:p>
    <w:p w14:paraId="281251AE" w14:textId="586E7388" w:rsidR="004535FC" w:rsidRDefault="004535FC" w:rsidP="00D55DA2">
      <w:pPr>
        <w:pStyle w:val="Bullet1"/>
      </w:pPr>
      <w:r w:rsidRPr="00A07A45">
        <w:t>favourable investment performance can play a valuable role in achieving adequate funding over the longer term.</w:t>
      </w:r>
    </w:p>
    <w:p w14:paraId="205300D3" w14:textId="77777777" w:rsidR="004535FC" w:rsidRPr="004535FC" w:rsidRDefault="004535FC" w:rsidP="004535FC">
      <w:pPr>
        <w:tabs>
          <w:tab w:val="left" w:pos="0"/>
        </w:tabs>
        <w:spacing w:after="0" w:line="240" w:lineRule="auto"/>
        <w:jc w:val="both"/>
        <w:rPr>
          <w:rFonts w:cs="Arial"/>
        </w:rPr>
      </w:pPr>
    </w:p>
    <w:p w14:paraId="27ED776B" w14:textId="703123A6" w:rsidR="004535FC" w:rsidRDefault="00F341EC" w:rsidP="004535FC">
      <w:pPr>
        <w:tabs>
          <w:tab w:val="left" w:pos="0"/>
        </w:tabs>
        <w:jc w:val="both"/>
        <w:rPr>
          <w:rFonts w:cs="Arial"/>
        </w:rPr>
      </w:pPr>
      <w:r>
        <w:rPr>
          <w:rFonts w:cs="Arial"/>
        </w:rPr>
        <w:t xml:space="preserve">This allows the </w:t>
      </w:r>
      <w:r w:rsidR="00177D13">
        <w:rPr>
          <w:rFonts w:cs="Arial"/>
        </w:rPr>
        <w:t>Fund</w:t>
      </w:r>
      <w:r>
        <w:rPr>
          <w:rFonts w:cs="Arial"/>
        </w:rPr>
        <w:t xml:space="preserve"> </w:t>
      </w:r>
      <w:r w:rsidR="004535FC">
        <w:rPr>
          <w:rFonts w:cs="Arial"/>
        </w:rPr>
        <w:t xml:space="preserve">to take a longer term view when assessing the contribution requirements for certain employers.  </w:t>
      </w:r>
    </w:p>
    <w:p w14:paraId="0C418E88" w14:textId="77777777" w:rsidR="00F82096" w:rsidRPr="00F82096" w:rsidRDefault="004535FC" w:rsidP="00F82096">
      <w:pPr>
        <w:tabs>
          <w:tab w:val="left" w:pos="0"/>
        </w:tabs>
        <w:jc w:val="both"/>
        <w:rPr>
          <w:rFonts w:cs="Arial"/>
        </w:rPr>
      </w:pPr>
      <w:r w:rsidRPr="00F82096">
        <w:rPr>
          <w:rFonts w:cs="Arial"/>
        </w:rPr>
        <w:t xml:space="preserve">In considering this the Administering Authority, based on the advice of the Actuary, will consider if this results in a reasonable likelihood that the funding plan will be successful </w:t>
      </w:r>
      <w:r w:rsidR="00F82096" w:rsidRPr="00F82096">
        <w:rPr>
          <w:rFonts w:cs="Arial"/>
        </w:rPr>
        <w:t>potentially taking into account any changes in funding after the valuation date up to the finalisation of the valuation by 31 March 2017 at the latest.</w:t>
      </w:r>
    </w:p>
    <w:p w14:paraId="6E931549" w14:textId="0EDC4704" w:rsidR="00A93238" w:rsidRDefault="004535FC" w:rsidP="004535FC">
      <w:pPr>
        <w:tabs>
          <w:tab w:val="left" w:pos="0"/>
        </w:tabs>
        <w:jc w:val="both"/>
        <w:rPr>
          <w:rFonts w:cs="Arial"/>
        </w:rPr>
      </w:pPr>
      <w:r w:rsidRPr="009A05AB">
        <w:rPr>
          <w:rFonts w:cs="Arial"/>
        </w:rPr>
        <w:t xml:space="preserve">As part of each valuation separate employer contribution rates are assessed by the </w:t>
      </w:r>
      <w:r w:rsidR="00A93238">
        <w:rPr>
          <w:rFonts w:cs="Arial"/>
        </w:rPr>
        <w:t>Fund A</w:t>
      </w:r>
      <w:r w:rsidRPr="009A05AB">
        <w:rPr>
          <w:rFonts w:cs="Arial"/>
        </w:rPr>
        <w:t xml:space="preserve">ctuary for each participating employer or group of employers. These rates are assessed taking into account the experience and circumstances of each employer, following a principle of no cross-subsidy between the </w:t>
      </w:r>
      <w:r>
        <w:rPr>
          <w:rFonts w:cs="Arial"/>
        </w:rPr>
        <w:t xml:space="preserve">distinct </w:t>
      </w:r>
      <w:r w:rsidRPr="009A05AB">
        <w:rPr>
          <w:rFonts w:cs="Arial"/>
        </w:rPr>
        <w:t xml:space="preserve">employers </w:t>
      </w:r>
      <w:r w:rsidR="00BB1EDA">
        <w:rPr>
          <w:rFonts w:cs="Arial"/>
        </w:rPr>
        <w:t xml:space="preserve">and employer groups </w:t>
      </w:r>
      <w:r w:rsidRPr="009A05AB">
        <w:rPr>
          <w:rFonts w:cs="Arial"/>
        </w:rPr>
        <w:t xml:space="preserve">in the </w:t>
      </w:r>
      <w:r w:rsidR="00177D13">
        <w:rPr>
          <w:rFonts w:cs="Arial"/>
        </w:rPr>
        <w:t>Fund</w:t>
      </w:r>
      <w:r w:rsidRPr="009A05AB">
        <w:rPr>
          <w:rFonts w:cs="Arial"/>
        </w:rPr>
        <w:t xml:space="preserve">. </w:t>
      </w:r>
    </w:p>
    <w:p w14:paraId="26887F4A" w14:textId="70DF09B7" w:rsidR="004535FC" w:rsidRPr="006F78CE" w:rsidRDefault="004535FC" w:rsidP="004535FC">
      <w:pPr>
        <w:tabs>
          <w:tab w:val="left" w:pos="0"/>
        </w:tabs>
        <w:jc w:val="both"/>
        <w:rPr>
          <w:rFonts w:cs="Arial"/>
        </w:rPr>
      </w:pPr>
      <w:r w:rsidRPr="009A05AB">
        <w:rPr>
          <w:rFonts w:cs="Arial"/>
        </w:rPr>
        <w:t>The Administering Authority, following consultation with the participating employers, has adopted the following objectives for setting the individual employer contribution rates arising from the 20</w:t>
      </w:r>
      <w:r>
        <w:rPr>
          <w:rFonts w:cs="Arial"/>
        </w:rPr>
        <w:t>1</w:t>
      </w:r>
      <w:r w:rsidR="00992D51">
        <w:rPr>
          <w:rFonts w:cs="Arial"/>
        </w:rPr>
        <w:t>6</w:t>
      </w:r>
      <w:r w:rsidRPr="009A05AB">
        <w:rPr>
          <w:rFonts w:cs="Arial"/>
        </w:rPr>
        <w:t xml:space="preserve"> actuarial </w:t>
      </w:r>
      <w:r w:rsidRPr="006F78CE">
        <w:rPr>
          <w:rFonts w:cs="Arial"/>
        </w:rPr>
        <w:t>valuation:</w:t>
      </w:r>
    </w:p>
    <w:p w14:paraId="72DA49B5" w14:textId="4A4A81B8" w:rsidR="00966D29" w:rsidRPr="00A120E4" w:rsidRDefault="00F341EC" w:rsidP="00A120E4">
      <w:pPr>
        <w:pStyle w:val="ListParagraph"/>
        <w:numPr>
          <w:ilvl w:val="0"/>
          <w:numId w:val="24"/>
        </w:numPr>
        <w:tabs>
          <w:tab w:val="left" w:pos="0"/>
        </w:tabs>
        <w:jc w:val="both"/>
        <w:rPr>
          <w:rFonts w:cs="Arial"/>
        </w:rPr>
      </w:pPr>
      <w:r w:rsidRPr="006F78CE">
        <w:rPr>
          <w:rFonts w:cs="Arial"/>
        </w:rPr>
        <w:t>T</w:t>
      </w:r>
      <w:r w:rsidR="004535FC" w:rsidRPr="006F78CE">
        <w:rPr>
          <w:rFonts w:cs="Arial"/>
        </w:rPr>
        <w:t xml:space="preserve">he </w:t>
      </w:r>
      <w:r w:rsidR="00177D13" w:rsidRPr="006F78CE">
        <w:rPr>
          <w:rFonts w:cs="Arial"/>
        </w:rPr>
        <w:t>Fund</w:t>
      </w:r>
      <w:r w:rsidR="004535FC" w:rsidRPr="006F78CE">
        <w:rPr>
          <w:rFonts w:cs="Arial"/>
        </w:rPr>
        <w:t xml:space="preserve"> does not believe it appropriate for </w:t>
      </w:r>
      <w:r w:rsidR="00EF71B1" w:rsidRPr="006F78CE">
        <w:rPr>
          <w:rFonts w:cs="Arial"/>
        </w:rPr>
        <w:t xml:space="preserve">reductions in total </w:t>
      </w:r>
      <w:r w:rsidR="004535FC" w:rsidRPr="006F78CE">
        <w:rPr>
          <w:rFonts w:cs="Arial"/>
        </w:rPr>
        <w:t>contribution</w:t>
      </w:r>
      <w:r w:rsidR="00EF71B1" w:rsidRPr="006F78CE">
        <w:rPr>
          <w:rFonts w:cs="Arial"/>
        </w:rPr>
        <w:t>s</w:t>
      </w:r>
      <w:r w:rsidR="004535FC" w:rsidRPr="006F78CE">
        <w:rPr>
          <w:rFonts w:cs="Arial"/>
        </w:rPr>
        <w:t xml:space="preserve"> to apply</w:t>
      </w:r>
      <w:r w:rsidRPr="006F78CE">
        <w:rPr>
          <w:rFonts w:cs="Arial"/>
        </w:rPr>
        <w:t xml:space="preserve"> compared to the existing</w:t>
      </w:r>
      <w:r w:rsidR="004535FC" w:rsidRPr="006F78CE">
        <w:rPr>
          <w:rFonts w:cs="Arial"/>
        </w:rPr>
        <w:t xml:space="preserve"> funding plan</w:t>
      </w:r>
      <w:r w:rsidRPr="006F78CE">
        <w:rPr>
          <w:rFonts w:cs="Arial"/>
        </w:rPr>
        <w:t xml:space="preserve"> (allowing for indexation </w:t>
      </w:r>
      <w:r w:rsidR="00EF71B1" w:rsidRPr="006F78CE">
        <w:rPr>
          <w:rFonts w:cs="Arial"/>
        </w:rPr>
        <w:t xml:space="preserve">of deficit contributions </w:t>
      </w:r>
      <w:r w:rsidRPr="006F78CE">
        <w:rPr>
          <w:rFonts w:cs="Arial"/>
        </w:rPr>
        <w:t>where applicable)</w:t>
      </w:r>
      <w:r w:rsidR="004535FC" w:rsidRPr="006F78CE">
        <w:rPr>
          <w:rFonts w:cs="Arial"/>
        </w:rPr>
        <w:t xml:space="preserve"> where deficits remain</w:t>
      </w:r>
      <w:r w:rsidR="001E75C3" w:rsidRPr="006F78CE">
        <w:rPr>
          <w:rFonts w:cs="Arial"/>
        </w:rPr>
        <w:t xml:space="preserve"> unless there is compelling reason to do </w:t>
      </w:r>
      <w:r w:rsidR="00783C5D" w:rsidRPr="006F78CE">
        <w:rPr>
          <w:rFonts w:cs="Arial"/>
        </w:rPr>
        <w:t>so.</w:t>
      </w:r>
      <w:r w:rsidR="004535FC" w:rsidRPr="006F78CE">
        <w:rPr>
          <w:rFonts w:cs="Arial"/>
        </w:rPr>
        <w:t xml:space="preserve">  </w:t>
      </w:r>
    </w:p>
    <w:p w14:paraId="13A24361" w14:textId="143A7040" w:rsidR="00966D29" w:rsidRPr="00A120E4" w:rsidRDefault="00EF71B1" w:rsidP="00A120E4">
      <w:pPr>
        <w:pStyle w:val="ListParagraph"/>
        <w:numPr>
          <w:ilvl w:val="0"/>
          <w:numId w:val="24"/>
        </w:numPr>
        <w:tabs>
          <w:tab w:val="left" w:pos="0"/>
        </w:tabs>
        <w:jc w:val="both"/>
        <w:rPr>
          <w:rFonts w:cs="Arial"/>
        </w:rPr>
      </w:pPr>
      <w:r w:rsidRPr="006F78CE">
        <w:rPr>
          <w:rFonts w:cs="Arial"/>
        </w:rPr>
        <w:t xml:space="preserve">Where warranted by an employer’s circumstances, the Administering Authority retains the discretion to apply a discount rate based on a lower risk investment strategy for that employer to protect the Fund as a whole.  Such cases will be determined by the </w:t>
      </w:r>
      <w:r w:rsidR="00F524FA">
        <w:rPr>
          <w:rFonts w:cs="Arial"/>
        </w:rPr>
        <w:t xml:space="preserve">Head of Fund </w:t>
      </w:r>
      <w:r w:rsidRPr="006F78CE">
        <w:rPr>
          <w:rFonts w:cs="Arial"/>
        </w:rPr>
        <w:t xml:space="preserve">and reported to the Committee.  Employers may also choose to fund using a discount rate in line with the Fund’s termination policy if they so choose.  </w:t>
      </w:r>
    </w:p>
    <w:p w14:paraId="361A4D8F" w14:textId="4B895F6C" w:rsidR="00966D29" w:rsidRPr="00A120E4" w:rsidRDefault="00F82096" w:rsidP="00A120E4">
      <w:pPr>
        <w:pStyle w:val="ListParagraph"/>
        <w:numPr>
          <w:ilvl w:val="0"/>
          <w:numId w:val="24"/>
        </w:numPr>
        <w:tabs>
          <w:tab w:val="left" w:pos="0"/>
        </w:tabs>
        <w:jc w:val="both"/>
        <w:rPr>
          <w:rFonts w:cs="Arial"/>
        </w:rPr>
      </w:pPr>
      <w:r w:rsidRPr="006F78CE">
        <w:rPr>
          <w:rFonts w:cs="Arial"/>
        </w:rPr>
        <w:t>Subject to consideration of affordability</w:t>
      </w:r>
      <w:r w:rsidR="004535FC" w:rsidRPr="006F78CE">
        <w:rPr>
          <w:rFonts w:cs="Arial"/>
        </w:rPr>
        <w:t xml:space="preserve">, </w:t>
      </w:r>
      <w:r w:rsidR="00F341EC" w:rsidRPr="006F78CE">
        <w:rPr>
          <w:rFonts w:cs="Arial"/>
        </w:rPr>
        <w:t xml:space="preserve">as a general rule the deficit recovery period will reduce by at least </w:t>
      </w:r>
      <w:r w:rsidR="00EF71B1" w:rsidRPr="006F78CE">
        <w:rPr>
          <w:rFonts w:cs="Arial"/>
        </w:rPr>
        <w:t>3</w:t>
      </w:r>
      <w:r w:rsidR="00F341EC" w:rsidRPr="006F78CE">
        <w:rPr>
          <w:rFonts w:cs="Arial"/>
        </w:rPr>
        <w:t xml:space="preserve"> years for employers at this valuation when compared to the preceding valuation</w:t>
      </w:r>
      <w:r w:rsidR="004535FC" w:rsidRPr="006F78CE">
        <w:rPr>
          <w:rFonts w:cs="Arial"/>
        </w:rPr>
        <w:t xml:space="preserve">. </w:t>
      </w:r>
      <w:r w:rsidR="00F341EC" w:rsidRPr="006F78CE">
        <w:rPr>
          <w:rFonts w:cs="Arial"/>
        </w:rPr>
        <w:t xml:space="preserve">This is to target full solvency over a similar (or shorter) time horizon.  </w:t>
      </w:r>
      <w:r w:rsidR="004535FC" w:rsidRPr="006F78CE">
        <w:rPr>
          <w:rFonts w:cs="Arial"/>
        </w:rPr>
        <w:t xml:space="preserve">Employers will have the freedom to adopt a recovery plan on the basis of a shorter period if they so wish. </w:t>
      </w:r>
      <w:r w:rsidR="004E58EA" w:rsidRPr="006F78CE">
        <w:rPr>
          <w:rFonts w:cs="Arial"/>
        </w:rPr>
        <w:t>Subject to affordability considerations and other factors</w:t>
      </w:r>
      <w:r w:rsidR="006E74D6" w:rsidRPr="006F78CE">
        <w:rPr>
          <w:rFonts w:cs="Arial"/>
        </w:rPr>
        <w:t>,</w:t>
      </w:r>
      <w:r w:rsidR="004E58EA" w:rsidRPr="006F78CE">
        <w:rPr>
          <w:rFonts w:cs="Arial"/>
        </w:rPr>
        <w:t xml:space="preserve"> a bespoke</w:t>
      </w:r>
      <w:r w:rsidR="004E58EA" w:rsidRPr="006F78CE">
        <w:rPr>
          <w:color w:val="auto"/>
        </w:rPr>
        <w:t xml:space="preserve"> </w:t>
      </w:r>
      <w:r w:rsidR="004535FC" w:rsidRPr="006F78CE">
        <w:rPr>
          <w:rFonts w:cs="Arial"/>
        </w:rPr>
        <w:t>period may be applied</w:t>
      </w:r>
      <w:r w:rsidR="004535FC" w:rsidRPr="00966D29">
        <w:rPr>
          <w:rFonts w:cs="Arial"/>
        </w:rPr>
        <w:t xml:space="preserve"> in respect of particular employers where the Administering Authority considers this to be warranted </w:t>
      </w:r>
      <w:r w:rsidR="00F341EC" w:rsidRPr="00966D29">
        <w:rPr>
          <w:rFonts w:cs="Arial"/>
        </w:rPr>
        <w:t xml:space="preserve">(see Deficit Recovery Plan in </w:t>
      </w:r>
      <w:r w:rsidR="00F341EC" w:rsidRPr="00966D29">
        <w:rPr>
          <w:rFonts w:cs="Arial"/>
          <w:b/>
        </w:rPr>
        <w:t>Appendix B</w:t>
      </w:r>
      <w:r w:rsidR="004535FC" w:rsidRPr="00966D29">
        <w:rPr>
          <w:rFonts w:cs="Arial"/>
        </w:rPr>
        <w:t xml:space="preserve">).  </w:t>
      </w:r>
      <w:r w:rsidR="006E74D6">
        <w:rPr>
          <w:rFonts w:cs="Arial"/>
        </w:rPr>
        <w:t xml:space="preserve">These principles </w:t>
      </w:r>
      <w:r w:rsidR="006E74D6" w:rsidRPr="00966D29">
        <w:rPr>
          <w:rFonts w:cs="Arial"/>
        </w:rPr>
        <w:t>ha</w:t>
      </w:r>
      <w:r w:rsidR="006E74D6">
        <w:rPr>
          <w:rFonts w:cs="Arial"/>
        </w:rPr>
        <w:t>ve</w:t>
      </w:r>
      <w:r w:rsidR="006E74D6" w:rsidRPr="00966D29">
        <w:rPr>
          <w:rFonts w:cs="Arial"/>
        </w:rPr>
        <w:t xml:space="preserve"> </w:t>
      </w:r>
      <w:r w:rsidR="004535FC" w:rsidRPr="00966D29">
        <w:rPr>
          <w:rFonts w:cs="Arial"/>
        </w:rPr>
        <w:t xml:space="preserve">resulted in </w:t>
      </w:r>
      <w:r w:rsidR="00D30926">
        <w:rPr>
          <w:rFonts w:cs="Arial"/>
        </w:rPr>
        <w:t xml:space="preserve">a target </w:t>
      </w:r>
      <w:r w:rsidR="004535FC" w:rsidRPr="00966D29">
        <w:rPr>
          <w:rFonts w:cs="Arial"/>
        </w:rPr>
        <w:t xml:space="preserve">recovery period of </w:t>
      </w:r>
      <w:r w:rsidR="00D30926">
        <w:rPr>
          <w:rFonts w:cs="Arial"/>
        </w:rPr>
        <w:t>16</w:t>
      </w:r>
      <w:r w:rsidR="004535FC" w:rsidRPr="00966D29">
        <w:rPr>
          <w:rFonts w:cs="Arial"/>
        </w:rPr>
        <w:t xml:space="preserve"> years </w:t>
      </w:r>
      <w:r w:rsidR="006F78CE">
        <w:rPr>
          <w:rFonts w:cs="Arial"/>
        </w:rPr>
        <w:t xml:space="preserve">normally </w:t>
      </w:r>
      <w:r w:rsidR="004535FC" w:rsidRPr="00966D29">
        <w:rPr>
          <w:rFonts w:cs="Arial"/>
        </w:rPr>
        <w:t xml:space="preserve">being adopted across </w:t>
      </w:r>
      <w:r w:rsidR="00177D13">
        <w:rPr>
          <w:rFonts w:cs="Arial"/>
        </w:rPr>
        <w:t>Fund</w:t>
      </w:r>
      <w:r w:rsidR="006E74D6">
        <w:rPr>
          <w:rFonts w:cs="Arial"/>
        </w:rPr>
        <w:t xml:space="preserve"> </w:t>
      </w:r>
      <w:r w:rsidR="004535FC" w:rsidRPr="00966D29">
        <w:rPr>
          <w:rFonts w:cs="Arial"/>
        </w:rPr>
        <w:t>employers.</w:t>
      </w:r>
    </w:p>
    <w:p w14:paraId="1B274EE2" w14:textId="57604D57" w:rsidR="004535FC" w:rsidRPr="00966D29" w:rsidRDefault="00031BA0" w:rsidP="00966D29">
      <w:pPr>
        <w:pStyle w:val="ListParagraph"/>
        <w:numPr>
          <w:ilvl w:val="0"/>
          <w:numId w:val="24"/>
        </w:numPr>
        <w:tabs>
          <w:tab w:val="left" w:pos="0"/>
        </w:tabs>
        <w:jc w:val="both"/>
        <w:rPr>
          <w:rFonts w:cs="Arial"/>
        </w:rPr>
      </w:pPr>
      <w:r>
        <w:rPr>
          <w:rFonts w:cs="Arial"/>
        </w:rPr>
        <w:t>Individual</w:t>
      </w:r>
      <w:r w:rsidRPr="00966D29">
        <w:rPr>
          <w:rFonts w:cs="Arial"/>
        </w:rPr>
        <w:t xml:space="preserve"> </w:t>
      </w:r>
      <w:r w:rsidR="004535FC" w:rsidRPr="00966D29">
        <w:rPr>
          <w:rFonts w:cs="Arial"/>
        </w:rPr>
        <w:t>employer contributions will be expressed and certified as two separate elements:</w:t>
      </w:r>
    </w:p>
    <w:p w14:paraId="6E02DF0E" w14:textId="1312C3D3" w:rsidR="004535FC" w:rsidRPr="00966D29" w:rsidRDefault="00031BA0" w:rsidP="00966D29">
      <w:pPr>
        <w:pStyle w:val="ListParagraph"/>
        <w:numPr>
          <w:ilvl w:val="1"/>
          <w:numId w:val="24"/>
        </w:numPr>
        <w:tabs>
          <w:tab w:val="left" w:pos="0"/>
        </w:tabs>
        <w:jc w:val="both"/>
        <w:rPr>
          <w:rFonts w:cs="Arial"/>
        </w:rPr>
      </w:pPr>
      <w:r>
        <w:rPr>
          <w:rFonts w:cs="Arial"/>
        </w:rPr>
        <w:t xml:space="preserve">the </w:t>
      </w:r>
      <w:r w:rsidRPr="001B4F39">
        <w:rPr>
          <w:b/>
          <w:color w:val="00A8C8"/>
          <w:spacing w:val="5"/>
          <w:szCs w:val="22"/>
          <w:lang w:val="en-GB"/>
        </w:rPr>
        <w:t>Primary rate</w:t>
      </w:r>
      <w:r>
        <w:rPr>
          <w:rFonts w:cs="Arial"/>
        </w:rPr>
        <w:t xml:space="preserve">: </w:t>
      </w:r>
      <w:r w:rsidR="004535FC" w:rsidRPr="00966D29">
        <w:rPr>
          <w:rFonts w:cs="Arial"/>
        </w:rPr>
        <w:t xml:space="preserve">a percentage of pensionable payroll in respect of </w:t>
      </w:r>
      <w:r>
        <w:rPr>
          <w:rFonts w:cs="Arial"/>
        </w:rPr>
        <w:t xml:space="preserve">the cost of </w:t>
      </w:r>
      <w:r w:rsidR="004535FC" w:rsidRPr="00966D29">
        <w:rPr>
          <w:rFonts w:cs="Arial"/>
        </w:rPr>
        <w:t>the future accrual of benefit</w:t>
      </w:r>
      <w:r>
        <w:rPr>
          <w:rFonts w:cs="Arial"/>
        </w:rPr>
        <w:t>s</w:t>
      </w:r>
      <w:r w:rsidR="00992D51" w:rsidRPr="00966D29">
        <w:rPr>
          <w:rFonts w:cs="Arial"/>
        </w:rPr>
        <w:t xml:space="preserve"> </w:t>
      </w:r>
    </w:p>
    <w:p w14:paraId="7CA25224" w14:textId="265E88DB" w:rsidR="00F82096" w:rsidRPr="00966D29" w:rsidRDefault="00031BA0" w:rsidP="001F1E2A">
      <w:pPr>
        <w:pStyle w:val="ListParagraph"/>
        <w:numPr>
          <w:ilvl w:val="1"/>
          <w:numId w:val="24"/>
        </w:numPr>
        <w:tabs>
          <w:tab w:val="left" w:pos="0"/>
        </w:tabs>
        <w:spacing w:after="0"/>
        <w:jc w:val="both"/>
        <w:rPr>
          <w:rFonts w:cs="Arial"/>
        </w:rPr>
      </w:pPr>
      <w:r>
        <w:rPr>
          <w:rFonts w:cs="Arial"/>
        </w:rPr>
        <w:t xml:space="preserve">the </w:t>
      </w:r>
      <w:r w:rsidRPr="001B4F39">
        <w:rPr>
          <w:b/>
          <w:color w:val="00A8C8"/>
          <w:spacing w:val="5"/>
          <w:szCs w:val="22"/>
          <w:lang w:val="en-GB"/>
        </w:rPr>
        <w:t>Secondary rate</w:t>
      </w:r>
      <w:r>
        <w:rPr>
          <w:rFonts w:cs="Arial"/>
        </w:rPr>
        <w:t xml:space="preserve">: </w:t>
      </w:r>
      <w:r w:rsidR="00F82096" w:rsidRPr="00966D29">
        <w:rPr>
          <w:rFonts w:cs="Arial"/>
        </w:rPr>
        <w:t xml:space="preserve">a schedule of </w:t>
      </w:r>
      <w:r w:rsidR="00A120E4">
        <w:rPr>
          <w:rFonts w:cs="Arial"/>
        </w:rPr>
        <w:t xml:space="preserve">percentages of pensionable payroll or </w:t>
      </w:r>
      <w:r w:rsidR="00F82096" w:rsidRPr="00966D29">
        <w:rPr>
          <w:rFonts w:cs="Arial"/>
        </w:rPr>
        <w:t xml:space="preserve">lump sum </w:t>
      </w:r>
      <w:r>
        <w:rPr>
          <w:rFonts w:cs="Arial"/>
        </w:rPr>
        <w:t xml:space="preserve">monetary </w:t>
      </w:r>
      <w:r w:rsidR="00F82096" w:rsidRPr="00966D29">
        <w:rPr>
          <w:rFonts w:cs="Arial"/>
        </w:rPr>
        <w:t xml:space="preserve">amounts over 2017/20 in respect of </w:t>
      </w:r>
      <w:r w:rsidR="00C8069A">
        <w:rPr>
          <w:rFonts w:cs="Arial"/>
        </w:rPr>
        <w:t>an employer’s</w:t>
      </w:r>
      <w:r w:rsidR="00C8069A" w:rsidRPr="00966D29">
        <w:rPr>
          <w:rFonts w:cs="Arial"/>
        </w:rPr>
        <w:t xml:space="preserve"> </w:t>
      </w:r>
      <w:r w:rsidR="00C8069A">
        <w:rPr>
          <w:rFonts w:cs="Arial"/>
        </w:rPr>
        <w:t xml:space="preserve">surplus or </w:t>
      </w:r>
      <w:r w:rsidR="00F82096" w:rsidRPr="00966D29">
        <w:rPr>
          <w:rFonts w:cs="Arial"/>
        </w:rPr>
        <w:t xml:space="preserve">deficit </w:t>
      </w:r>
    </w:p>
    <w:p w14:paraId="256BF866" w14:textId="7A6B3519" w:rsidR="00C8069A" w:rsidRPr="00966D29" w:rsidRDefault="00C8069A" w:rsidP="00A120E4">
      <w:pPr>
        <w:tabs>
          <w:tab w:val="left" w:pos="0"/>
        </w:tabs>
        <w:spacing w:after="0"/>
        <w:ind w:left="720"/>
        <w:jc w:val="both"/>
        <w:rPr>
          <w:rFonts w:cs="Arial"/>
        </w:rPr>
      </w:pPr>
      <w:r w:rsidRPr="00CB0030">
        <w:rPr>
          <w:rFonts w:cs="Arial"/>
        </w:rPr>
        <w:t>For any employer, the total contributions they are actually required to pay in any one year is the sum of the Primary and Secondary rates</w:t>
      </w:r>
      <w:r>
        <w:rPr>
          <w:rFonts w:cs="Arial"/>
        </w:rPr>
        <w:t xml:space="preserve"> (subject to an overall minimum of zero)</w:t>
      </w:r>
      <w:r w:rsidRPr="00CB0030">
        <w:rPr>
          <w:rFonts w:cs="Arial"/>
        </w:rPr>
        <w:t>.</w:t>
      </w:r>
      <w:r>
        <w:rPr>
          <w:rFonts w:cs="Arial"/>
        </w:rPr>
        <w:t xml:space="preserve"> B</w:t>
      </w:r>
      <w:r w:rsidRPr="00966D29">
        <w:rPr>
          <w:rFonts w:cs="Arial"/>
        </w:rPr>
        <w:t xml:space="preserve">oth </w:t>
      </w:r>
      <w:r w:rsidR="00F82096" w:rsidRPr="00966D29">
        <w:rPr>
          <w:rFonts w:cs="Arial"/>
        </w:rPr>
        <w:t xml:space="preserve">elements are subject to </w:t>
      </w:r>
      <w:r>
        <w:rPr>
          <w:rFonts w:cs="Arial"/>
        </w:rPr>
        <w:t xml:space="preserve">further </w:t>
      </w:r>
      <w:r w:rsidR="00F82096" w:rsidRPr="00966D29">
        <w:rPr>
          <w:rFonts w:cs="Arial"/>
        </w:rPr>
        <w:t>review from April 2020 based on the results of the 2019 actuarial valuation.</w:t>
      </w:r>
    </w:p>
    <w:p w14:paraId="0659766F" w14:textId="044C44A1" w:rsidR="00966D29" w:rsidRPr="00A120E4" w:rsidRDefault="004535FC" w:rsidP="00A120E4">
      <w:pPr>
        <w:pStyle w:val="ListParagraph"/>
        <w:numPr>
          <w:ilvl w:val="0"/>
          <w:numId w:val="24"/>
        </w:numPr>
        <w:tabs>
          <w:tab w:val="left" w:pos="0"/>
        </w:tabs>
        <w:jc w:val="both"/>
        <w:rPr>
          <w:rFonts w:cs="Arial"/>
        </w:rPr>
      </w:pPr>
      <w:r w:rsidRPr="00D30926">
        <w:rPr>
          <w:rFonts w:cs="Arial"/>
        </w:rPr>
        <w:t>Where increases</w:t>
      </w:r>
      <w:r w:rsidR="00F341EC" w:rsidRPr="00D30926">
        <w:rPr>
          <w:rFonts w:cs="Arial"/>
        </w:rPr>
        <w:t xml:space="preserve"> </w:t>
      </w:r>
      <w:r w:rsidRPr="00D30926">
        <w:rPr>
          <w:rFonts w:cs="Arial"/>
        </w:rPr>
        <w:t>in employer contributions are required from 1 April 201</w:t>
      </w:r>
      <w:r w:rsidR="00992D51" w:rsidRPr="00D30926">
        <w:rPr>
          <w:rFonts w:cs="Arial"/>
        </w:rPr>
        <w:t>7</w:t>
      </w:r>
      <w:r w:rsidRPr="00D30926">
        <w:rPr>
          <w:rFonts w:cs="Arial"/>
        </w:rPr>
        <w:t>, following completion of the 201</w:t>
      </w:r>
      <w:r w:rsidR="00992D51" w:rsidRPr="00D30926">
        <w:rPr>
          <w:rFonts w:cs="Arial"/>
        </w:rPr>
        <w:t>6</w:t>
      </w:r>
      <w:r w:rsidRPr="00D30926">
        <w:rPr>
          <w:rFonts w:cs="Arial"/>
        </w:rPr>
        <w:t xml:space="preserve"> actuarial valuation, </w:t>
      </w:r>
      <w:r w:rsidR="00D30926">
        <w:rPr>
          <w:rFonts w:cs="Arial"/>
        </w:rPr>
        <w:t xml:space="preserve">if the Administering Authority agrees then </w:t>
      </w:r>
      <w:r w:rsidR="00D30926" w:rsidRPr="00966D29">
        <w:rPr>
          <w:rFonts w:cs="Arial"/>
        </w:rPr>
        <w:t xml:space="preserve">the increase from the rates of contribution payable in the year </w:t>
      </w:r>
      <w:r w:rsidR="00D30926">
        <w:rPr>
          <w:rFonts w:cs="Arial"/>
        </w:rPr>
        <w:t>2016/17</w:t>
      </w:r>
      <w:r w:rsidR="00D30926" w:rsidRPr="00966D29">
        <w:rPr>
          <w:rFonts w:cs="Arial"/>
        </w:rPr>
        <w:t xml:space="preserve"> may be implemented in steps, over a period </w:t>
      </w:r>
      <w:r w:rsidR="00D30926">
        <w:rPr>
          <w:rFonts w:cs="Arial"/>
        </w:rPr>
        <w:t>agreed by the Administering Authority</w:t>
      </w:r>
      <w:r w:rsidR="00D30926" w:rsidRPr="00966D29">
        <w:rPr>
          <w:rFonts w:cs="Arial"/>
        </w:rPr>
        <w:t xml:space="preserve">. </w:t>
      </w:r>
    </w:p>
    <w:p w14:paraId="4EA0BBCB" w14:textId="296260B6" w:rsidR="00A120E4" w:rsidRPr="00A120E4" w:rsidRDefault="00EE7B66" w:rsidP="00A120E4">
      <w:pPr>
        <w:pStyle w:val="ListParagraph"/>
        <w:numPr>
          <w:ilvl w:val="0"/>
          <w:numId w:val="24"/>
        </w:numPr>
        <w:tabs>
          <w:tab w:val="left" w:pos="0"/>
        </w:tabs>
        <w:jc w:val="both"/>
        <w:rPr>
          <w:rFonts w:cs="Arial"/>
        </w:rPr>
      </w:pPr>
      <w:r w:rsidRPr="008844EF">
        <w:rPr>
          <w:rFonts w:cs="Arial"/>
        </w:rPr>
        <w:t xml:space="preserve">For those employers who are </w:t>
      </w:r>
      <w:r>
        <w:rPr>
          <w:rFonts w:cs="Arial"/>
        </w:rPr>
        <w:t xml:space="preserve">to be included in the </w:t>
      </w:r>
      <w:r w:rsidRPr="008844EF">
        <w:rPr>
          <w:rFonts w:cs="Arial"/>
        </w:rPr>
        <w:t>ill-health captive arrangement, the contributions payable over the period 1 April 2017 to 31 March 2020 will be adjusted accordingly to reflect the premium charged to provide continued protection against the risks of excessive ill-</w:t>
      </w:r>
      <w:r w:rsidRPr="00CF52F4">
        <w:t>health</w:t>
      </w:r>
      <w:r w:rsidRPr="008844EF">
        <w:rPr>
          <w:rFonts w:cs="Arial"/>
        </w:rPr>
        <w:t xml:space="preserve"> retirement costs emerging. Further details are provided in Appendix </w:t>
      </w:r>
      <w:r>
        <w:rPr>
          <w:rFonts w:cs="Arial"/>
        </w:rPr>
        <w:t>C</w:t>
      </w:r>
      <w:r w:rsidRPr="008844EF">
        <w:rPr>
          <w:rFonts w:cs="Arial"/>
        </w:rPr>
        <w:t xml:space="preserve"> of these adjustments.</w:t>
      </w:r>
    </w:p>
    <w:p w14:paraId="07513B55" w14:textId="424F84D8" w:rsidR="00A120E4" w:rsidRPr="00A120E4" w:rsidRDefault="006F78CE" w:rsidP="00A120E4">
      <w:pPr>
        <w:pStyle w:val="ListParagraph"/>
        <w:numPr>
          <w:ilvl w:val="0"/>
          <w:numId w:val="24"/>
        </w:numPr>
        <w:tabs>
          <w:tab w:val="left" w:pos="0"/>
        </w:tabs>
        <w:jc w:val="both"/>
        <w:rPr>
          <w:rFonts w:cs="Arial"/>
        </w:rPr>
      </w:pPr>
      <w:r>
        <w:t>In exceptional circumstances the Fund may depart from the above principles for an employer or a particular group of employers.  Any such exceptions would be determined by the</w:t>
      </w:r>
      <w:r>
        <w:rPr>
          <w:rFonts w:cs="Arial"/>
        </w:rPr>
        <w:t xml:space="preserve"> Head of the Fund and reported to the Committee.</w:t>
      </w:r>
      <w:r w:rsidR="00CF52F4" w:rsidRPr="00CF52F4">
        <w:rPr>
          <w:rFonts w:cs="Arial"/>
        </w:rPr>
        <w:t xml:space="preserve"> </w:t>
      </w:r>
      <w:r w:rsidR="00CF52F4">
        <w:rPr>
          <w:rFonts w:cs="Arial"/>
        </w:rPr>
        <w:t xml:space="preserve"> As a particular example, in the event that it appeared that an employer was likely to end its participation in the Fund without its liabilities being passed on to a successor employer, and without the employer providing sufficient security against its closure position, then the Fund might decide to set a funding plan such that the employer’s closure position were expected to be met by the time of </w:t>
      </w:r>
      <w:r w:rsidR="00A120E4">
        <w:rPr>
          <w:rFonts w:cs="Arial"/>
        </w:rPr>
        <w:t xml:space="preserve">its </w:t>
      </w:r>
      <w:r w:rsidR="00CF52F4">
        <w:rPr>
          <w:rFonts w:cs="Arial"/>
        </w:rPr>
        <w:t>exit from the Fund.</w:t>
      </w:r>
    </w:p>
    <w:p w14:paraId="2FA74E91" w14:textId="71C9D68F" w:rsidR="00716D1E" w:rsidRPr="00A120E4" w:rsidRDefault="004535FC" w:rsidP="00A120E4">
      <w:pPr>
        <w:pStyle w:val="ListParagraph"/>
        <w:numPr>
          <w:ilvl w:val="0"/>
          <w:numId w:val="24"/>
        </w:numPr>
        <w:tabs>
          <w:tab w:val="left" w:pos="0"/>
        </w:tabs>
        <w:jc w:val="both"/>
        <w:rPr>
          <w:rFonts w:cs="Arial"/>
        </w:rPr>
      </w:pPr>
      <w:r w:rsidRPr="00966D29">
        <w:rPr>
          <w:rFonts w:cs="Arial"/>
        </w:rPr>
        <w:t xml:space="preserve">On the cessation of an employer’s participation in the </w:t>
      </w:r>
      <w:r w:rsidR="00177D13">
        <w:rPr>
          <w:rFonts w:cs="Arial"/>
        </w:rPr>
        <w:t>Fund</w:t>
      </w:r>
      <w:r w:rsidRPr="00966D29">
        <w:rPr>
          <w:rFonts w:cs="Arial"/>
        </w:rPr>
        <w:t xml:space="preserve">, </w:t>
      </w:r>
      <w:r w:rsidR="00630097" w:rsidRPr="00966D29">
        <w:rPr>
          <w:rFonts w:cs="Arial"/>
        </w:rPr>
        <w:t xml:space="preserve">in accordance with the Regulations, </w:t>
      </w:r>
      <w:r w:rsidRPr="00966D29">
        <w:rPr>
          <w:rFonts w:cs="Arial"/>
        </w:rPr>
        <w:t xml:space="preserve">the </w:t>
      </w:r>
      <w:r w:rsidR="00630097" w:rsidRPr="00966D29">
        <w:rPr>
          <w:rFonts w:cs="Arial"/>
        </w:rPr>
        <w:t>Fund A</w:t>
      </w:r>
      <w:r w:rsidRPr="00966D29">
        <w:rPr>
          <w:rFonts w:cs="Arial"/>
        </w:rPr>
        <w:t xml:space="preserve">ctuary will be asked to make a termination assessment.  </w:t>
      </w:r>
      <w:r w:rsidR="00776746" w:rsidRPr="00966D29">
        <w:rPr>
          <w:rFonts w:cs="Arial"/>
        </w:rPr>
        <w:t xml:space="preserve">Any deficit in the </w:t>
      </w:r>
      <w:r w:rsidR="00177D13">
        <w:rPr>
          <w:rFonts w:cs="Arial"/>
        </w:rPr>
        <w:t>Fund</w:t>
      </w:r>
      <w:r w:rsidR="004449DA" w:rsidRPr="00966D29">
        <w:rPr>
          <w:rFonts w:cs="Arial"/>
        </w:rPr>
        <w:t xml:space="preserve"> </w:t>
      </w:r>
      <w:r w:rsidR="00776746" w:rsidRPr="00966D29">
        <w:rPr>
          <w:rFonts w:cs="Arial"/>
        </w:rPr>
        <w:t xml:space="preserve">in respect of the employer will be due to the </w:t>
      </w:r>
      <w:r w:rsidR="00177D13">
        <w:rPr>
          <w:rFonts w:cs="Arial"/>
        </w:rPr>
        <w:t>Fund</w:t>
      </w:r>
      <w:r w:rsidR="004449DA" w:rsidRPr="00966D29">
        <w:rPr>
          <w:rFonts w:cs="Arial"/>
        </w:rPr>
        <w:t xml:space="preserve"> </w:t>
      </w:r>
      <w:r w:rsidR="00776746" w:rsidRPr="00966D29">
        <w:rPr>
          <w:rFonts w:cs="Arial"/>
        </w:rPr>
        <w:t xml:space="preserve">as a termination contribution, unless it is agreed by the Administering Authority and the other parties involved that the assets and liabilities relating to the employer will transfer within the </w:t>
      </w:r>
      <w:r w:rsidR="00177D13">
        <w:rPr>
          <w:rFonts w:cs="Arial"/>
        </w:rPr>
        <w:t>Fund</w:t>
      </w:r>
      <w:r w:rsidR="004449DA" w:rsidRPr="00966D29">
        <w:rPr>
          <w:rFonts w:cs="Arial"/>
        </w:rPr>
        <w:t xml:space="preserve"> </w:t>
      </w:r>
      <w:r w:rsidR="00776746" w:rsidRPr="00966D29">
        <w:rPr>
          <w:rFonts w:cs="Arial"/>
        </w:rPr>
        <w:t xml:space="preserve">to another participating employer. </w:t>
      </w:r>
      <w:r w:rsidRPr="00966D29">
        <w:rPr>
          <w:rFonts w:cs="Arial"/>
        </w:rPr>
        <w:t>The termination policy is</w:t>
      </w:r>
      <w:r w:rsidR="00F341EC" w:rsidRPr="00966D29">
        <w:rPr>
          <w:rFonts w:cs="Arial"/>
        </w:rPr>
        <w:t xml:space="preserve"> </w:t>
      </w:r>
      <w:r w:rsidRPr="00966D29">
        <w:rPr>
          <w:rFonts w:cs="Arial"/>
        </w:rPr>
        <w:t xml:space="preserve">set out in </w:t>
      </w:r>
      <w:r w:rsidR="00A120E4">
        <w:rPr>
          <w:rFonts w:cs="Arial"/>
        </w:rPr>
        <w:t>a separate document</w:t>
      </w:r>
      <w:r w:rsidRPr="00966D29">
        <w:rPr>
          <w:rFonts w:cs="Arial"/>
        </w:rPr>
        <w:t>.</w:t>
      </w:r>
    </w:p>
    <w:p w14:paraId="407DE6EB" w14:textId="2B4B4AD7" w:rsidR="00716D1E" w:rsidRPr="00966D29" w:rsidRDefault="00716D1E" w:rsidP="00966D29">
      <w:pPr>
        <w:pStyle w:val="ListParagraph"/>
        <w:numPr>
          <w:ilvl w:val="0"/>
          <w:numId w:val="24"/>
        </w:numPr>
        <w:tabs>
          <w:tab w:val="left" w:pos="0"/>
        </w:tabs>
        <w:jc w:val="both"/>
        <w:rPr>
          <w:rFonts w:cs="Arial"/>
        </w:rPr>
      </w:pPr>
      <w:r w:rsidRPr="00966D29">
        <w:rPr>
          <w:rFonts w:cs="Arial"/>
        </w:rPr>
        <w:t xml:space="preserve">In all cases the Administering </w:t>
      </w:r>
      <w:r w:rsidR="004F1A34">
        <w:rPr>
          <w:rFonts w:cs="Arial"/>
        </w:rPr>
        <w:t>A</w:t>
      </w:r>
      <w:r w:rsidR="004F1A34" w:rsidRPr="00966D29">
        <w:rPr>
          <w:rFonts w:cs="Arial"/>
        </w:rPr>
        <w:t xml:space="preserve">uthority </w:t>
      </w:r>
      <w:r w:rsidRPr="00966D29">
        <w:rPr>
          <w:rFonts w:cs="Arial"/>
        </w:rPr>
        <w:t>reserves the right to apply a different approach at its sole discretion</w:t>
      </w:r>
      <w:r w:rsidR="004F1A34">
        <w:rPr>
          <w:rFonts w:cs="Arial"/>
        </w:rPr>
        <w:t>,</w:t>
      </w:r>
      <w:r w:rsidRPr="00966D29">
        <w:rPr>
          <w:rFonts w:cs="Arial"/>
        </w:rPr>
        <w:t xml:space="preserve"> taking into account the risk associated with an employer in proportion to the </w:t>
      </w:r>
      <w:r w:rsidR="00177D13">
        <w:rPr>
          <w:rFonts w:cs="Arial"/>
        </w:rPr>
        <w:t>Fund</w:t>
      </w:r>
      <w:r w:rsidRPr="00966D29">
        <w:rPr>
          <w:rFonts w:cs="Arial"/>
        </w:rPr>
        <w:t xml:space="preserve"> as a whole.  Any employer affected will be notified separately.</w:t>
      </w:r>
    </w:p>
    <w:p w14:paraId="67397378" w14:textId="355837EB" w:rsidR="00D6547D" w:rsidRPr="00142895" w:rsidRDefault="00142895" w:rsidP="00142895">
      <w:pPr>
        <w:pStyle w:val="Heading10"/>
      </w:pPr>
      <w:r>
        <w:t>FUNDING FOR NON-ILL HEALTH EARLY RETIREMENT COSTS</w:t>
      </w:r>
    </w:p>
    <w:p w14:paraId="5F2EE681" w14:textId="33CB23FD" w:rsidR="00142895" w:rsidRPr="00966D29" w:rsidRDefault="00142895" w:rsidP="00966D29">
      <w:pPr>
        <w:tabs>
          <w:tab w:val="left" w:pos="0"/>
        </w:tabs>
        <w:jc w:val="both"/>
        <w:rPr>
          <w:rFonts w:cs="Arial"/>
        </w:rPr>
      </w:pPr>
      <w:r w:rsidRPr="00D30926">
        <w:rPr>
          <w:rFonts w:cs="Arial"/>
        </w:rPr>
        <w:t xml:space="preserve">Employers are required to meet all costs of early retirement strain by immediate capital payments into the </w:t>
      </w:r>
      <w:r w:rsidR="00177D13" w:rsidRPr="00D30926">
        <w:rPr>
          <w:rFonts w:cs="Arial"/>
        </w:rPr>
        <w:t>Fund</w:t>
      </w:r>
      <w:r w:rsidR="00C873D8" w:rsidRPr="00D30926">
        <w:rPr>
          <w:rFonts w:cs="Arial"/>
        </w:rPr>
        <w:t>,</w:t>
      </w:r>
      <w:r w:rsidRPr="00D30926">
        <w:rPr>
          <w:rFonts w:cs="Arial"/>
        </w:rPr>
        <w:t xml:space="preserve"> or in certain circumstances by agreement with the </w:t>
      </w:r>
      <w:r w:rsidR="00177D13" w:rsidRPr="00D30926">
        <w:rPr>
          <w:rFonts w:cs="Arial"/>
        </w:rPr>
        <w:t>Fund</w:t>
      </w:r>
      <w:r w:rsidRPr="00D30926">
        <w:rPr>
          <w:rFonts w:cs="Arial"/>
        </w:rPr>
        <w:t xml:space="preserve">, </w:t>
      </w:r>
      <w:r w:rsidR="00C873D8" w:rsidRPr="00D30926">
        <w:rPr>
          <w:rFonts w:cs="Arial"/>
        </w:rPr>
        <w:t xml:space="preserve">through </w:t>
      </w:r>
      <w:r w:rsidRPr="00D30926">
        <w:rPr>
          <w:rFonts w:cs="Arial"/>
        </w:rPr>
        <w:t xml:space="preserve">instalments over a period </w:t>
      </w:r>
      <w:r w:rsidR="00D30926">
        <w:rPr>
          <w:rFonts w:cs="Arial"/>
        </w:rPr>
        <w:t>to be determined by the Administering Authority</w:t>
      </w:r>
      <w:r w:rsidRPr="00D30926">
        <w:rPr>
          <w:rFonts w:cs="Arial"/>
        </w:rPr>
        <w:t>.</w:t>
      </w:r>
    </w:p>
    <w:p w14:paraId="3EB11DB4" w14:textId="77777777" w:rsidR="00E67487" w:rsidRPr="008844EF" w:rsidRDefault="00E67487" w:rsidP="00E67487">
      <w:pPr>
        <w:pStyle w:val="Bullet1"/>
        <w:numPr>
          <w:ilvl w:val="0"/>
          <w:numId w:val="0"/>
        </w:numPr>
        <w:ind w:left="288" w:hanging="288"/>
        <w:rPr>
          <w:caps/>
          <w:color w:val="002C77"/>
          <w:spacing w:val="30"/>
          <w:szCs w:val="26"/>
        </w:rPr>
      </w:pPr>
      <w:r w:rsidRPr="008844EF">
        <w:rPr>
          <w:caps/>
          <w:color w:val="002C77"/>
          <w:spacing w:val="30"/>
          <w:szCs w:val="26"/>
        </w:rPr>
        <w:t>FUNDING FOR ILL HEALTH RETIREMENT COSTS</w:t>
      </w:r>
    </w:p>
    <w:p w14:paraId="013B2AE5" w14:textId="77777777" w:rsidR="00E67487" w:rsidRPr="008844EF" w:rsidRDefault="00E67487" w:rsidP="00E67487">
      <w:pPr>
        <w:pStyle w:val="ListParagraph"/>
        <w:tabs>
          <w:tab w:val="left" w:pos="0"/>
        </w:tabs>
        <w:ind w:left="0"/>
        <w:jc w:val="both"/>
        <w:rPr>
          <w:rFonts w:cs="Arial"/>
        </w:rPr>
      </w:pPr>
      <w:r w:rsidRPr="008844EF">
        <w:rPr>
          <w:rFonts w:cs="Arial"/>
        </w:rPr>
        <w:t>Should a member retire on ill health grounds, this will normally result in a funding strain for that employer (i.e. increased liability). The size of any funding strain will depend on how the cost of that ill health retirement compares with the expected cost built in the actuarial assumptions for that employer. The actual cost will also depend on the level of any benefit enhancements awarded (which depend on the circumstances of the ill health retirement) and also how early the benefits are brought into payment. The treatment of any ill-health retirement strain cost emerging will vary depending on the type of employer:</w:t>
      </w:r>
    </w:p>
    <w:p w14:paraId="55E9338F" w14:textId="77777777" w:rsidR="00E67487" w:rsidRPr="008844EF" w:rsidRDefault="00E67487" w:rsidP="00E67487">
      <w:pPr>
        <w:pStyle w:val="ListParagraph"/>
        <w:tabs>
          <w:tab w:val="left" w:pos="0"/>
        </w:tabs>
        <w:ind w:left="644"/>
        <w:jc w:val="both"/>
        <w:rPr>
          <w:rFonts w:cs="Arial"/>
        </w:rPr>
      </w:pPr>
    </w:p>
    <w:p w14:paraId="6E6BE0C5" w14:textId="77777777" w:rsidR="00E67487" w:rsidRPr="008844EF" w:rsidRDefault="00E67487" w:rsidP="00E67487">
      <w:pPr>
        <w:pStyle w:val="ListParagraph"/>
        <w:numPr>
          <w:ilvl w:val="0"/>
          <w:numId w:val="34"/>
        </w:numPr>
        <w:tabs>
          <w:tab w:val="left" w:pos="0"/>
        </w:tabs>
        <w:jc w:val="both"/>
        <w:rPr>
          <w:rFonts w:cs="Arial"/>
        </w:rPr>
      </w:pPr>
      <w:r w:rsidRPr="008844EF">
        <w:rPr>
          <w:rFonts w:cs="Arial"/>
        </w:rPr>
        <w:t>For those employers who participate in the ill-health captive, any ill-health retirement strain cost emerging will be met by a contribution from the captive fund as part of the subsequent actuarial valuation (or termination assessment if sooner). No additional contributions will be due immediately from the employer although an adjustment to the “premium” payable may emerge following the subsequent actuarial valuation, depending on the overall experience of the captive fund.</w:t>
      </w:r>
    </w:p>
    <w:p w14:paraId="3B9AD97B" w14:textId="77777777" w:rsidR="00E67487" w:rsidRPr="008844EF" w:rsidRDefault="00E67487" w:rsidP="00E67487">
      <w:pPr>
        <w:pStyle w:val="ListParagraph"/>
        <w:tabs>
          <w:tab w:val="left" w:pos="0"/>
        </w:tabs>
        <w:ind w:left="644"/>
        <w:jc w:val="both"/>
        <w:rPr>
          <w:rFonts w:cs="Arial"/>
        </w:rPr>
      </w:pPr>
    </w:p>
    <w:p w14:paraId="3E961D86" w14:textId="2031DBC8" w:rsidR="00E67487" w:rsidRPr="008844EF" w:rsidRDefault="00E67487" w:rsidP="00E67487">
      <w:pPr>
        <w:pStyle w:val="ListParagraph"/>
        <w:numPr>
          <w:ilvl w:val="0"/>
          <w:numId w:val="34"/>
        </w:numPr>
        <w:tabs>
          <w:tab w:val="left" w:pos="0"/>
        </w:tabs>
        <w:jc w:val="both"/>
        <w:rPr>
          <w:rFonts w:cs="Arial"/>
        </w:rPr>
      </w:pPr>
      <w:r w:rsidRPr="008844EF">
        <w:rPr>
          <w:rFonts w:cs="Arial"/>
        </w:rPr>
        <w:t xml:space="preserve">For those employers who don’t participate in the ill-health captive, the “primary rate” payable over 2017/20 may include an allowance for ill-health retirement costs </w:t>
      </w:r>
      <w:r>
        <w:rPr>
          <w:rFonts w:cs="Arial"/>
        </w:rPr>
        <w:t xml:space="preserve">(alongside those for voluntary early retirements) </w:t>
      </w:r>
      <w:r w:rsidRPr="008844EF">
        <w:rPr>
          <w:rFonts w:cs="Arial"/>
        </w:rPr>
        <w:t xml:space="preserve">depending on the employer’s profile. Where ill-health retirement strain costs exceed an employer’s allowance over the inter-valuation period (or should an employer not have an allowance within their “primary rate”), the excess strain costs will </w:t>
      </w:r>
      <w:r>
        <w:rPr>
          <w:rFonts w:cs="Arial"/>
        </w:rPr>
        <w:t xml:space="preserve">be included in the employer’s deficit (and subsequent deficit contributions) at the 2019 valuation.  </w:t>
      </w:r>
    </w:p>
    <w:p w14:paraId="189A9417" w14:textId="77777777" w:rsidR="00D6547D" w:rsidRPr="00716D1E" w:rsidRDefault="00D6547D" w:rsidP="00D6547D">
      <w:pPr>
        <w:pStyle w:val="Bullet1"/>
        <w:numPr>
          <w:ilvl w:val="0"/>
          <w:numId w:val="0"/>
        </w:numPr>
        <w:ind w:left="288" w:hanging="288"/>
        <w:rPr>
          <w:color w:val="FF0000"/>
        </w:rPr>
      </w:pPr>
    </w:p>
    <w:p w14:paraId="20379AB8" w14:textId="77777777" w:rsidR="00716D1E" w:rsidRPr="004A4702" w:rsidRDefault="00716D1E" w:rsidP="00716D1E">
      <w:pPr>
        <w:pStyle w:val="Bullet1"/>
        <w:numPr>
          <w:ilvl w:val="0"/>
          <w:numId w:val="0"/>
        </w:numPr>
        <w:ind w:left="288"/>
        <w:rPr>
          <w:color w:val="FF0000"/>
        </w:rPr>
      </w:pPr>
    </w:p>
    <w:p w14:paraId="7BED9F6D" w14:textId="77777777" w:rsidR="0022120C" w:rsidRPr="0022120C" w:rsidRDefault="0022120C" w:rsidP="0022120C">
      <w:pPr>
        <w:pStyle w:val="Bullet1"/>
        <w:numPr>
          <w:ilvl w:val="0"/>
          <w:numId w:val="0"/>
        </w:numPr>
        <w:ind w:left="288"/>
      </w:pPr>
    </w:p>
    <w:p w14:paraId="5DA7C124" w14:textId="0BA4A518" w:rsidR="00685101" w:rsidRDefault="00685101" w:rsidP="00685101">
      <w:pPr>
        <w:pStyle w:val="SectionNumber"/>
      </w:pPr>
      <w:r>
        <w:t>7</w:t>
      </w:r>
    </w:p>
    <w:p w14:paraId="07A97971" w14:textId="1CEBACB4" w:rsidR="00685101" w:rsidRDefault="00685101" w:rsidP="00685101">
      <w:pPr>
        <w:pStyle w:val="SectionHeading"/>
      </w:pPr>
      <w:bookmarkStart w:id="7" w:name="_Toc453168466"/>
      <w:r w:rsidRPr="00685101">
        <w:t>Link to investment policy a</w:t>
      </w:r>
      <w:r w:rsidR="00CE28F5">
        <w:t>nd</w:t>
      </w:r>
      <w:r w:rsidRPr="00685101">
        <w:t xml:space="preserve"> the </w:t>
      </w:r>
      <w:r w:rsidRPr="00CE28F5">
        <w:t>Investmen</w:t>
      </w:r>
      <w:r w:rsidR="000349B4">
        <w:t>t strategy statement (ISS)</w:t>
      </w:r>
      <w:bookmarkEnd w:id="7"/>
    </w:p>
    <w:p w14:paraId="6D3064A0" w14:textId="6BB319CD" w:rsidR="00685101" w:rsidRPr="00955A1B" w:rsidRDefault="00685101" w:rsidP="00685101">
      <w:pPr>
        <w:spacing w:after="120"/>
        <w:jc w:val="both"/>
        <w:rPr>
          <w:rFonts w:cs="Arial"/>
        </w:rPr>
      </w:pPr>
      <w:r w:rsidRPr="00955A1B">
        <w:rPr>
          <w:rFonts w:cs="Arial"/>
        </w:rPr>
        <w:t xml:space="preserve">The results of the </w:t>
      </w:r>
      <w:r w:rsidR="00FE53CD">
        <w:rPr>
          <w:rFonts w:cs="Arial"/>
        </w:rPr>
        <w:t>2016</w:t>
      </w:r>
      <w:r w:rsidRPr="00955A1B">
        <w:rPr>
          <w:rFonts w:cs="Arial"/>
        </w:rPr>
        <w:t xml:space="preserve"> valuation show the liabilities to </w:t>
      </w:r>
      <w:r w:rsidRPr="00557973">
        <w:rPr>
          <w:rFonts w:cs="Arial"/>
        </w:rPr>
        <w:t xml:space="preserve">be </w:t>
      </w:r>
      <w:r w:rsidR="00D30926">
        <w:rPr>
          <w:rFonts w:cs="Arial"/>
        </w:rPr>
        <w:t>90</w:t>
      </w:r>
      <w:r w:rsidRPr="00557973">
        <w:rPr>
          <w:rFonts w:cs="Arial"/>
        </w:rPr>
        <w:t>%</w:t>
      </w:r>
      <w:r w:rsidRPr="00E365EB">
        <w:rPr>
          <w:rFonts w:cs="Arial"/>
          <w:i/>
        </w:rPr>
        <w:t xml:space="preserve"> </w:t>
      </w:r>
      <w:r w:rsidRPr="00E365EB">
        <w:rPr>
          <w:rFonts w:cs="Arial"/>
        </w:rPr>
        <w:t xml:space="preserve">covered by the current assets, with the funding deficit </w:t>
      </w:r>
      <w:r w:rsidRPr="00557973">
        <w:rPr>
          <w:rFonts w:cs="Arial"/>
        </w:rPr>
        <w:t xml:space="preserve">of </w:t>
      </w:r>
      <w:r w:rsidR="00D30926">
        <w:rPr>
          <w:rFonts w:cs="Arial"/>
        </w:rPr>
        <w:t>10</w:t>
      </w:r>
      <w:r w:rsidRPr="00557973">
        <w:rPr>
          <w:rFonts w:cs="Arial"/>
        </w:rPr>
        <w:t>%</w:t>
      </w:r>
      <w:r w:rsidRPr="00E365EB">
        <w:rPr>
          <w:rFonts w:cs="Arial"/>
        </w:rPr>
        <w:t xml:space="preserve"> being cov</w:t>
      </w:r>
      <w:r w:rsidRPr="00955A1B">
        <w:rPr>
          <w:rFonts w:cs="Arial"/>
        </w:rPr>
        <w:t>ered by future deficit contributions.</w:t>
      </w:r>
    </w:p>
    <w:p w14:paraId="74914F99" w14:textId="58A1739B" w:rsidR="00685101" w:rsidRPr="00955A1B" w:rsidRDefault="00685101" w:rsidP="00685101">
      <w:pPr>
        <w:spacing w:after="120"/>
        <w:jc w:val="both"/>
        <w:rPr>
          <w:rFonts w:cs="Arial"/>
        </w:rPr>
      </w:pPr>
      <w:r w:rsidRPr="00955A1B">
        <w:rPr>
          <w:rFonts w:cs="Arial"/>
        </w:rPr>
        <w:t xml:space="preserve">In assessing the value of the </w:t>
      </w:r>
      <w:r w:rsidR="00177D13">
        <w:rPr>
          <w:rFonts w:cs="Arial"/>
        </w:rPr>
        <w:t>Fund</w:t>
      </w:r>
      <w:r w:rsidRPr="00955A1B">
        <w:rPr>
          <w:rFonts w:cs="Arial"/>
        </w:rPr>
        <w:t xml:space="preserve">’s liabilities in the valuation, allowance has been made for </w:t>
      </w:r>
      <w:r w:rsidR="007B7701">
        <w:rPr>
          <w:rFonts w:cs="Arial"/>
        </w:rPr>
        <w:t xml:space="preserve">growth </w:t>
      </w:r>
      <w:r w:rsidRPr="00955A1B">
        <w:rPr>
          <w:rFonts w:cs="Arial"/>
        </w:rPr>
        <w:t xml:space="preserve">asset out-performance as described below, taking into account the investment strategy adopted by the </w:t>
      </w:r>
      <w:r w:rsidR="00177D13">
        <w:rPr>
          <w:rFonts w:cs="Arial"/>
        </w:rPr>
        <w:t>Fund</w:t>
      </w:r>
      <w:r w:rsidRPr="00955A1B">
        <w:rPr>
          <w:rFonts w:cs="Arial"/>
        </w:rPr>
        <w:t xml:space="preserve">, as set out in the </w:t>
      </w:r>
      <w:r w:rsidR="00FE53CD" w:rsidRPr="007B7701">
        <w:rPr>
          <w:rFonts w:cs="Arial"/>
        </w:rPr>
        <w:t>I</w:t>
      </w:r>
      <w:r w:rsidR="00F272AB" w:rsidRPr="007B7701">
        <w:rPr>
          <w:rFonts w:cs="Arial"/>
        </w:rPr>
        <w:t>S</w:t>
      </w:r>
      <w:r w:rsidR="00FE53CD" w:rsidRPr="007B7701">
        <w:rPr>
          <w:rFonts w:cs="Arial"/>
        </w:rPr>
        <w:t>S</w:t>
      </w:r>
      <w:r w:rsidRPr="00955A1B">
        <w:rPr>
          <w:rFonts w:cs="Arial"/>
        </w:rPr>
        <w:t>.</w:t>
      </w:r>
    </w:p>
    <w:p w14:paraId="05A79BFE" w14:textId="1FC914F9" w:rsidR="00685101" w:rsidRPr="007B7701" w:rsidRDefault="00685101" w:rsidP="00685101">
      <w:pPr>
        <w:spacing w:after="120"/>
        <w:jc w:val="both"/>
        <w:rPr>
          <w:rFonts w:cs="Arial"/>
        </w:rPr>
      </w:pPr>
      <w:r w:rsidRPr="007B7701">
        <w:rPr>
          <w:rFonts w:cs="Arial"/>
        </w:rPr>
        <w:t xml:space="preserve">It is not possible to construct a portfolio of investments which produces a stream of income exactly matching the expected liability outgo.  However, it is possible to construct a portfolio which represents the </w:t>
      </w:r>
      <w:r w:rsidR="007B7701">
        <w:rPr>
          <w:rFonts w:cs="Arial"/>
        </w:rPr>
        <w:t>“minimum</w:t>
      </w:r>
      <w:r w:rsidRPr="007B7701">
        <w:rPr>
          <w:rFonts w:cs="Arial"/>
        </w:rPr>
        <w:t xml:space="preserve"> risk</w:t>
      </w:r>
      <w:r w:rsidR="007B7701">
        <w:rPr>
          <w:rFonts w:cs="Arial"/>
        </w:rPr>
        <w:t>”</w:t>
      </w:r>
      <w:r w:rsidRPr="007B7701">
        <w:rPr>
          <w:rFonts w:cs="Arial"/>
        </w:rPr>
        <w:t xml:space="preserve"> investment position</w:t>
      </w:r>
      <w:r w:rsidR="007B7701">
        <w:rPr>
          <w:rFonts w:cs="Arial"/>
        </w:rPr>
        <w:t xml:space="preserve"> which would deliver a very high certainty of real returns above assumed CPI inflation</w:t>
      </w:r>
      <w:r w:rsidRPr="007B7701">
        <w:rPr>
          <w:rFonts w:cs="Arial"/>
        </w:rPr>
        <w:t>.  Such a portfolio would consist of a mixtur</w:t>
      </w:r>
      <w:r w:rsidR="001044CE" w:rsidRPr="007B7701">
        <w:rPr>
          <w:rFonts w:cs="Arial"/>
        </w:rPr>
        <w:t xml:space="preserve">e of long-term index-linked, </w:t>
      </w:r>
      <w:r w:rsidRPr="007B7701">
        <w:rPr>
          <w:rFonts w:cs="Arial"/>
        </w:rPr>
        <w:t>fixed interest gilts</w:t>
      </w:r>
      <w:r w:rsidR="001044CE" w:rsidRPr="007B7701">
        <w:rPr>
          <w:rFonts w:cs="Arial"/>
        </w:rPr>
        <w:t xml:space="preserve"> and possible swaps</w:t>
      </w:r>
      <w:r w:rsidRPr="007B7701">
        <w:rPr>
          <w:rFonts w:cs="Arial"/>
        </w:rPr>
        <w:t>.</w:t>
      </w:r>
    </w:p>
    <w:p w14:paraId="0A18190C" w14:textId="1F2DE263" w:rsidR="00685101" w:rsidRPr="007B7701" w:rsidRDefault="00685101" w:rsidP="00685101">
      <w:pPr>
        <w:spacing w:after="120"/>
        <w:jc w:val="both"/>
        <w:rPr>
          <w:rFonts w:cs="Arial"/>
        </w:rPr>
      </w:pPr>
      <w:r w:rsidRPr="007B7701">
        <w:rPr>
          <w:rFonts w:cs="Arial"/>
        </w:rPr>
        <w:t>Investment of the</w:t>
      </w:r>
      <w:r w:rsidR="007B7701">
        <w:rPr>
          <w:rFonts w:cs="Arial"/>
        </w:rPr>
        <w:t xml:space="preserve"> </w:t>
      </w:r>
      <w:r w:rsidR="00177D13">
        <w:rPr>
          <w:rFonts w:cs="Arial"/>
        </w:rPr>
        <w:t>Fund</w:t>
      </w:r>
      <w:r w:rsidR="007B7701">
        <w:rPr>
          <w:rFonts w:cs="Arial"/>
        </w:rPr>
        <w:t>’s assets in line with this</w:t>
      </w:r>
      <w:r w:rsidRPr="007B7701">
        <w:rPr>
          <w:rFonts w:cs="Arial"/>
        </w:rPr>
        <w:t xml:space="preserve"> portfolio would minimise flu</w:t>
      </w:r>
      <w:r w:rsidR="007B7701">
        <w:rPr>
          <w:rFonts w:cs="Arial"/>
        </w:rPr>
        <w:t xml:space="preserve">ctuations in the </w:t>
      </w:r>
      <w:r w:rsidR="00177D13">
        <w:rPr>
          <w:rFonts w:cs="Arial"/>
        </w:rPr>
        <w:t>Fund</w:t>
      </w:r>
      <w:r w:rsidR="007B7701">
        <w:rPr>
          <w:rFonts w:cs="Arial"/>
        </w:rPr>
        <w:t xml:space="preserve">’s </w:t>
      </w:r>
      <w:r w:rsidRPr="007B7701">
        <w:rPr>
          <w:rFonts w:cs="Arial"/>
        </w:rPr>
        <w:t xml:space="preserve">funding </w:t>
      </w:r>
      <w:r w:rsidR="007B7701">
        <w:rPr>
          <w:rFonts w:cs="Arial"/>
        </w:rPr>
        <w:t>position</w:t>
      </w:r>
      <w:r w:rsidRPr="007B7701">
        <w:rPr>
          <w:rFonts w:cs="Arial"/>
        </w:rPr>
        <w:t xml:space="preserve"> between successive actuarial valuations.</w:t>
      </w:r>
    </w:p>
    <w:p w14:paraId="5985968F" w14:textId="10C1EE19" w:rsidR="00685101" w:rsidRPr="007B7701" w:rsidRDefault="00685101" w:rsidP="00685101">
      <w:pPr>
        <w:spacing w:after="120"/>
        <w:jc w:val="both"/>
        <w:rPr>
          <w:rFonts w:cs="Arial"/>
        </w:rPr>
      </w:pPr>
      <w:r w:rsidRPr="007B7701">
        <w:rPr>
          <w:rFonts w:cs="Arial"/>
        </w:rPr>
        <w:t xml:space="preserve">If, at the valuation date, the </w:t>
      </w:r>
      <w:r w:rsidR="00177D13">
        <w:rPr>
          <w:rFonts w:cs="Arial"/>
        </w:rPr>
        <w:t>Fund</w:t>
      </w:r>
      <w:r w:rsidRPr="007B7701">
        <w:rPr>
          <w:rFonts w:cs="Arial"/>
        </w:rPr>
        <w:t xml:space="preserve"> had been invested in this portfolio, then in carrying out this valuation it would not be appropriate to make any allowance for </w:t>
      </w:r>
      <w:r w:rsidR="007B7701">
        <w:rPr>
          <w:rFonts w:cs="Arial"/>
        </w:rPr>
        <w:t xml:space="preserve">growth assets </w:t>
      </w:r>
      <w:r w:rsidRPr="007B7701">
        <w:rPr>
          <w:rFonts w:cs="Arial"/>
        </w:rPr>
        <w:t xml:space="preserve">out-performance or any adjustment to market implied inflation assumption due to supply/demand distortions in the bond markets.  </w:t>
      </w:r>
      <w:r w:rsidR="007B7701">
        <w:rPr>
          <w:rFonts w:cs="Arial"/>
        </w:rPr>
        <w:t>This would result in real return versus CPI inflation of nil per annum</w:t>
      </w:r>
      <w:r w:rsidR="004E58EA" w:rsidRPr="004E58EA">
        <w:rPr>
          <w:rFonts w:cs="Arial"/>
        </w:rPr>
        <w:t xml:space="preserve"> at the valuation date.</w:t>
      </w:r>
      <w:r w:rsidR="007B7701">
        <w:rPr>
          <w:rFonts w:cs="Arial"/>
        </w:rPr>
        <w:t xml:space="preserve">  </w:t>
      </w:r>
      <w:r w:rsidRPr="007B7701">
        <w:rPr>
          <w:rFonts w:cs="Arial"/>
        </w:rPr>
        <w:t xml:space="preserve">On this basis of assessment, the assessed value of the </w:t>
      </w:r>
      <w:r w:rsidR="00177D13">
        <w:rPr>
          <w:rFonts w:cs="Arial"/>
        </w:rPr>
        <w:t>Fund</w:t>
      </w:r>
      <w:r w:rsidRPr="007B7701">
        <w:rPr>
          <w:rFonts w:cs="Arial"/>
        </w:rPr>
        <w:t xml:space="preserve">’s liabilities at the </w:t>
      </w:r>
      <w:r w:rsidR="007B7701">
        <w:rPr>
          <w:rFonts w:cs="Arial"/>
        </w:rPr>
        <w:t>v</w:t>
      </w:r>
      <w:r w:rsidRPr="007B7701">
        <w:rPr>
          <w:rFonts w:cs="Arial"/>
        </w:rPr>
        <w:t xml:space="preserve">aluation would have been significantly higher, resulting in a funding level of </w:t>
      </w:r>
      <w:r w:rsidR="00576A39">
        <w:rPr>
          <w:rFonts w:cs="Arial"/>
        </w:rPr>
        <w:t>59</w:t>
      </w:r>
      <w:r w:rsidRPr="007B7701">
        <w:rPr>
          <w:rFonts w:cs="Arial"/>
        </w:rPr>
        <w:t>%.</w:t>
      </w:r>
    </w:p>
    <w:p w14:paraId="74EDC470" w14:textId="2C673487" w:rsidR="00685101" w:rsidRPr="007B7701" w:rsidRDefault="007B7701" w:rsidP="00685101">
      <w:pPr>
        <w:spacing w:after="120"/>
        <w:jc w:val="both"/>
        <w:rPr>
          <w:rFonts w:cs="Arial"/>
        </w:rPr>
      </w:pPr>
      <w:r>
        <w:rPr>
          <w:rFonts w:cs="Arial"/>
        </w:rPr>
        <w:t>Departure from a minimum</w:t>
      </w:r>
      <w:r w:rsidR="00685101" w:rsidRPr="007B7701">
        <w:rPr>
          <w:rFonts w:cs="Arial"/>
        </w:rPr>
        <w:t xml:space="preserve"> risk investment strategy, in particular to include </w:t>
      </w:r>
      <w:r>
        <w:rPr>
          <w:rFonts w:cs="Arial"/>
        </w:rPr>
        <w:t>growth assets such as equities, gives a better</w:t>
      </w:r>
      <w:r w:rsidR="00685101" w:rsidRPr="007B7701">
        <w:rPr>
          <w:rFonts w:cs="Arial"/>
        </w:rPr>
        <w:t xml:space="preserve"> prospect that the assets will, over time, </w:t>
      </w:r>
      <w:r>
        <w:rPr>
          <w:rFonts w:cs="Arial"/>
        </w:rPr>
        <w:t xml:space="preserve">deliver returns in excess of CPI inflation and </w:t>
      </w:r>
      <w:r w:rsidR="00685101" w:rsidRPr="007B7701">
        <w:rPr>
          <w:rFonts w:cs="Arial"/>
        </w:rPr>
        <w:t xml:space="preserve">reduce the contribution requirements. The target </w:t>
      </w:r>
      <w:r>
        <w:rPr>
          <w:rFonts w:cs="Arial"/>
        </w:rPr>
        <w:t xml:space="preserve">solvency </w:t>
      </w:r>
      <w:r w:rsidR="00685101" w:rsidRPr="007B7701">
        <w:rPr>
          <w:rFonts w:cs="Arial"/>
        </w:rPr>
        <w:t xml:space="preserve">position of having sufficient assets to meet the </w:t>
      </w:r>
      <w:r w:rsidR="00177D13">
        <w:rPr>
          <w:rFonts w:cs="Arial"/>
        </w:rPr>
        <w:t>Fund</w:t>
      </w:r>
      <w:r w:rsidR="00685101" w:rsidRPr="007B7701">
        <w:rPr>
          <w:rFonts w:cs="Arial"/>
        </w:rPr>
        <w:t xml:space="preserve">’s pension obligations might in practice therefore be achieved by a range of combinations of funding plan, investment strategy and investment performance. </w:t>
      </w:r>
    </w:p>
    <w:p w14:paraId="2512F1A6" w14:textId="6155783B" w:rsidR="000E54A7" w:rsidRDefault="00BA0C73" w:rsidP="00EE5C08">
      <w:pPr>
        <w:pStyle w:val="DocumentText"/>
        <w:rPr>
          <w:rFonts w:cs="Arial"/>
        </w:rPr>
      </w:pPr>
      <w:r>
        <w:rPr>
          <w:rFonts w:cs="Arial"/>
        </w:rPr>
        <w:t>The current strategy is:</w:t>
      </w:r>
    </w:p>
    <w:p w14:paraId="542F90AD" w14:textId="4CE3FDED" w:rsidR="00F95C2D" w:rsidRDefault="00434F3C" w:rsidP="00434F3C">
      <w:pPr>
        <w:spacing w:after="0" w:line="240" w:lineRule="auto"/>
        <w:jc w:val="center"/>
        <w:rPr>
          <w:rFonts w:cs="Arial"/>
          <w:szCs w:val="22"/>
        </w:rPr>
      </w:pPr>
      <w:r>
        <w:rPr>
          <w:rFonts w:cs="Arial"/>
          <w:noProof/>
          <w:szCs w:val="22"/>
          <w:lang w:val="en-GB" w:eastAsia="en-GB"/>
        </w:rPr>
        <w:drawing>
          <wp:inline distT="0" distB="0" distL="0" distR="0" wp14:anchorId="6CF9F0D4" wp14:editId="1C84EE8F">
            <wp:extent cx="3745383" cy="2644213"/>
            <wp:effectExtent l="19050" t="19050" r="26670" b="2286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t="4196" r="2732" b="27025"/>
                    <a:stretch/>
                  </pic:blipFill>
                  <pic:spPr bwMode="auto">
                    <a:xfrm>
                      <a:off x="0" y="0"/>
                      <a:ext cx="3753904" cy="2650229"/>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19C0F5B3" w14:textId="09816501" w:rsidR="00685101" w:rsidRDefault="00434F3C" w:rsidP="00EE5C08">
      <w:pPr>
        <w:pStyle w:val="DocumentText"/>
        <w:rPr>
          <w:rFonts w:cs="Arial"/>
        </w:rPr>
      </w:pPr>
      <w:r>
        <w:rPr>
          <w:rFonts w:cs="Arial"/>
        </w:rPr>
        <w:t>T</w:t>
      </w:r>
      <w:r w:rsidR="00685101" w:rsidRPr="00EE5C08">
        <w:rPr>
          <w:rFonts w:cs="Arial"/>
        </w:rPr>
        <w:t xml:space="preserve">he investment strategy and return expectations set out above equate to an overall </w:t>
      </w:r>
      <w:r w:rsidR="007B7701">
        <w:rPr>
          <w:rFonts w:cs="Arial"/>
        </w:rPr>
        <w:t xml:space="preserve">best estimate average </w:t>
      </w:r>
      <w:r w:rsidR="00685101" w:rsidRPr="00EE5C08">
        <w:rPr>
          <w:rFonts w:cs="Arial"/>
        </w:rPr>
        <w:t xml:space="preserve">expected return of </w:t>
      </w:r>
      <w:r>
        <w:rPr>
          <w:rFonts w:cs="Arial"/>
        </w:rPr>
        <w:t>3.55</w:t>
      </w:r>
      <w:r w:rsidR="00685101" w:rsidRPr="00EE5C08">
        <w:rPr>
          <w:rFonts w:cs="Arial"/>
        </w:rPr>
        <w:t xml:space="preserve">% per annum in excess of </w:t>
      </w:r>
      <w:r w:rsidR="00CE28F5">
        <w:rPr>
          <w:rFonts w:cs="Arial"/>
        </w:rPr>
        <w:t>CPI inflation</w:t>
      </w:r>
      <w:r>
        <w:rPr>
          <w:rFonts w:cs="Arial"/>
        </w:rPr>
        <w:t xml:space="preserve"> as at 31 March 2016</w:t>
      </w:r>
      <w:r w:rsidR="00685101" w:rsidRPr="00EE5C08">
        <w:rPr>
          <w:rFonts w:cs="Arial"/>
        </w:rPr>
        <w:t>.  For the purposes of setting funding strategy however, the Administering Authority believes that it is appropriate to take a margin for prudence on these return expectations.</w:t>
      </w:r>
      <w:r w:rsidR="00685101" w:rsidRPr="00FE3A3E" w:rsidDel="00F23DDA">
        <w:rPr>
          <w:rFonts w:cs="Arial"/>
        </w:rPr>
        <w:t xml:space="preserve"> </w:t>
      </w:r>
    </w:p>
    <w:p w14:paraId="76B6990D" w14:textId="53367CC2" w:rsidR="00EE5C08" w:rsidRDefault="00EE5C08" w:rsidP="00EE5C08">
      <w:pPr>
        <w:pStyle w:val="SectionNumber"/>
      </w:pPr>
      <w:r>
        <w:t>8</w:t>
      </w:r>
    </w:p>
    <w:p w14:paraId="6C5D1190" w14:textId="4977C184" w:rsidR="00EE5C08" w:rsidRDefault="00EE5C08" w:rsidP="00EE5C08">
      <w:pPr>
        <w:pStyle w:val="SectionHeading"/>
      </w:pPr>
      <w:bookmarkStart w:id="8" w:name="_Toc453168467"/>
      <w:r>
        <w:t>Identification of risks and counter-measures</w:t>
      </w:r>
      <w:bookmarkEnd w:id="8"/>
    </w:p>
    <w:p w14:paraId="27BA710B" w14:textId="372FA373" w:rsidR="00EE5C08" w:rsidRPr="00955A1B" w:rsidRDefault="00EE5C08" w:rsidP="00EE5C08">
      <w:pPr>
        <w:spacing w:after="120"/>
        <w:jc w:val="both"/>
        <w:rPr>
          <w:rFonts w:cs="Arial"/>
        </w:rPr>
      </w:pPr>
      <w:r w:rsidRPr="00955A1B">
        <w:rPr>
          <w:rFonts w:cs="Arial"/>
        </w:rPr>
        <w:t xml:space="preserve">The funding of defined benefits is by its nature uncertain. Funding of the </w:t>
      </w:r>
      <w:r w:rsidR="00177D13">
        <w:rPr>
          <w:rFonts w:cs="Arial"/>
        </w:rPr>
        <w:t>Fund</w:t>
      </w:r>
      <w:r w:rsidRPr="00955A1B">
        <w:rPr>
          <w:rFonts w:cs="Arial"/>
        </w:rPr>
        <w:t xml:space="preserve"> is based on both financial and demographic assumptions. These assumptions are specified in the actuarial valuation report. When actual experience is not in line with the assumptions adopted a surplus or shortfall will emerge at the next actuarial assessment and will require a subsequent contribution adjustment to bring the funding back into line with the target.</w:t>
      </w:r>
    </w:p>
    <w:p w14:paraId="368F8964" w14:textId="4009A401" w:rsidR="00EE5C08" w:rsidRPr="00955A1B" w:rsidRDefault="00EE5C08" w:rsidP="00EE5C08">
      <w:pPr>
        <w:spacing w:after="120"/>
        <w:jc w:val="both"/>
        <w:rPr>
          <w:rFonts w:cs="Arial"/>
        </w:rPr>
      </w:pPr>
      <w:r w:rsidRPr="00955A1B">
        <w:rPr>
          <w:rFonts w:cs="Arial"/>
        </w:rPr>
        <w:t xml:space="preserve">The Administering Authority has been advised by the </w:t>
      </w:r>
      <w:r w:rsidR="003952F8">
        <w:rPr>
          <w:rFonts w:cs="Arial"/>
        </w:rPr>
        <w:t>Fund A</w:t>
      </w:r>
      <w:r w:rsidRPr="00955A1B">
        <w:rPr>
          <w:rFonts w:cs="Arial"/>
        </w:rPr>
        <w:t>ctuary that the greatest risk to the funding level is the investment risk inherent in the predominantly equity based strategy, so that actual asset out-performance between successive valuations could diverge significantly from that assumed in the long term.</w:t>
      </w:r>
    </w:p>
    <w:p w14:paraId="3A45594A" w14:textId="77777777" w:rsidR="00050371" w:rsidRDefault="00050371" w:rsidP="00EE5C08">
      <w:pPr>
        <w:pStyle w:val="Heading10"/>
      </w:pPr>
    </w:p>
    <w:p w14:paraId="23C3834E" w14:textId="77777777" w:rsidR="00EE5C08" w:rsidRPr="00AC2053" w:rsidRDefault="00EE5C08" w:rsidP="00EE5C08">
      <w:pPr>
        <w:pStyle w:val="Heading10"/>
      </w:pPr>
      <w:r w:rsidRPr="00AC2053">
        <w:t>Financial</w:t>
      </w:r>
    </w:p>
    <w:p w14:paraId="1E90FC16" w14:textId="77777777" w:rsidR="00EE5C08" w:rsidRPr="00955A1B" w:rsidRDefault="00EE5C08" w:rsidP="00EE5C08">
      <w:pPr>
        <w:spacing w:after="120"/>
        <w:jc w:val="both"/>
        <w:rPr>
          <w:rFonts w:cs="Arial"/>
        </w:rPr>
      </w:pPr>
      <w:r w:rsidRPr="00955A1B">
        <w:rPr>
          <w:rFonts w:cs="Arial"/>
        </w:rPr>
        <w:t>The financial risks are as follows:-</w:t>
      </w:r>
    </w:p>
    <w:p w14:paraId="3B23AD09" w14:textId="77777777" w:rsidR="00EE5C08" w:rsidRPr="00955A1B" w:rsidRDefault="00EE5C08" w:rsidP="00DA031F">
      <w:pPr>
        <w:numPr>
          <w:ilvl w:val="0"/>
          <w:numId w:val="12"/>
        </w:numPr>
        <w:tabs>
          <w:tab w:val="clear" w:pos="720"/>
          <w:tab w:val="num" w:pos="360"/>
        </w:tabs>
        <w:spacing w:after="120" w:line="240" w:lineRule="auto"/>
        <w:ind w:left="360"/>
        <w:jc w:val="both"/>
        <w:rPr>
          <w:rFonts w:cs="Arial"/>
        </w:rPr>
      </w:pPr>
      <w:r w:rsidRPr="00955A1B">
        <w:rPr>
          <w:rFonts w:cs="Arial"/>
        </w:rPr>
        <w:t>Investment markets fail to perform in line with expectations</w:t>
      </w:r>
    </w:p>
    <w:p w14:paraId="62B21253" w14:textId="17ECC38F" w:rsidR="00EE5C08" w:rsidRPr="00955A1B" w:rsidRDefault="00EE5C08" w:rsidP="00DA031F">
      <w:pPr>
        <w:numPr>
          <w:ilvl w:val="0"/>
          <w:numId w:val="12"/>
        </w:numPr>
        <w:tabs>
          <w:tab w:val="clear" w:pos="720"/>
          <w:tab w:val="num" w:pos="360"/>
        </w:tabs>
        <w:spacing w:after="120" w:line="240" w:lineRule="auto"/>
        <w:ind w:left="360"/>
        <w:jc w:val="both"/>
        <w:rPr>
          <w:rFonts w:cs="Arial"/>
        </w:rPr>
      </w:pPr>
      <w:r w:rsidRPr="00955A1B">
        <w:rPr>
          <w:rFonts w:cs="Arial"/>
        </w:rPr>
        <w:t xml:space="preserve">Market </w:t>
      </w:r>
      <w:r w:rsidR="00423E87">
        <w:rPr>
          <w:rFonts w:cs="Arial"/>
        </w:rPr>
        <w:t>outlook</w:t>
      </w:r>
      <w:r w:rsidR="00423E87" w:rsidRPr="00955A1B">
        <w:rPr>
          <w:rFonts w:cs="Arial"/>
        </w:rPr>
        <w:t xml:space="preserve"> </w:t>
      </w:r>
      <w:r w:rsidRPr="00955A1B">
        <w:rPr>
          <w:rFonts w:cs="Arial"/>
        </w:rPr>
        <w:t>move</w:t>
      </w:r>
      <w:r w:rsidR="00423E87">
        <w:rPr>
          <w:rFonts w:cs="Arial"/>
        </w:rPr>
        <w:t>s</w:t>
      </w:r>
      <w:r w:rsidRPr="00955A1B">
        <w:rPr>
          <w:rFonts w:cs="Arial"/>
        </w:rPr>
        <w:t xml:space="preserve"> at variance with assumptions</w:t>
      </w:r>
    </w:p>
    <w:p w14:paraId="6475F51C" w14:textId="77777777" w:rsidR="00EE5C08" w:rsidRPr="00955A1B" w:rsidRDefault="00EE5C08" w:rsidP="00DA031F">
      <w:pPr>
        <w:numPr>
          <w:ilvl w:val="0"/>
          <w:numId w:val="12"/>
        </w:numPr>
        <w:tabs>
          <w:tab w:val="clear" w:pos="720"/>
          <w:tab w:val="num" w:pos="360"/>
        </w:tabs>
        <w:spacing w:after="120" w:line="240" w:lineRule="auto"/>
        <w:ind w:left="360"/>
        <w:jc w:val="both"/>
        <w:rPr>
          <w:rFonts w:cs="Arial"/>
        </w:rPr>
      </w:pPr>
      <w:r w:rsidRPr="00955A1B">
        <w:rPr>
          <w:rFonts w:cs="Arial"/>
        </w:rPr>
        <w:t>Investment Fund Managers fail to achieve performance targets over the longer term</w:t>
      </w:r>
    </w:p>
    <w:p w14:paraId="1C490FC9" w14:textId="77777777" w:rsidR="00EE5C08" w:rsidRPr="00955A1B" w:rsidRDefault="00EE5C08" w:rsidP="00DA031F">
      <w:pPr>
        <w:numPr>
          <w:ilvl w:val="0"/>
          <w:numId w:val="12"/>
        </w:numPr>
        <w:tabs>
          <w:tab w:val="clear" w:pos="720"/>
          <w:tab w:val="num" w:pos="360"/>
        </w:tabs>
        <w:spacing w:after="120" w:line="240" w:lineRule="auto"/>
        <w:ind w:left="360"/>
        <w:jc w:val="both"/>
        <w:rPr>
          <w:rFonts w:cs="Arial"/>
        </w:rPr>
      </w:pPr>
      <w:r w:rsidRPr="00955A1B">
        <w:rPr>
          <w:rFonts w:cs="Arial"/>
        </w:rPr>
        <w:t>Asset re-allocations in volatile markets may lock in past losses</w:t>
      </w:r>
    </w:p>
    <w:p w14:paraId="39EF58FA" w14:textId="77777777" w:rsidR="00EE5C08" w:rsidRDefault="00EE5C08" w:rsidP="00DA031F">
      <w:pPr>
        <w:numPr>
          <w:ilvl w:val="0"/>
          <w:numId w:val="12"/>
        </w:numPr>
        <w:tabs>
          <w:tab w:val="clear" w:pos="720"/>
          <w:tab w:val="num" w:pos="360"/>
        </w:tabs>
        <w:spacing w:after="120" w:line="240" w:lineRule="auto"/>
        <w:ind w:left="360"/>
        <w:jc w:val="both"/>
        <w:rPr>
          <w:rFonts w:cs="Arial"/>
        </w:rPr>
      </w:pPr>
      <w:r w:rsidRPr="00955A1B">
        <w:rPr>
          <w:rFonts w:cs="Arial"/>
        </w:rPr>
        <w:t>Pay and price inflation significantly more or less than anticipated</w:t>
      </w:r>
    </w:p>
    <w:p w14:paraId="4A23BF27" w14:textId="71170888" w:rsidR="004B33FA" w:rsidRPr="007B7701" w:rsidRDefault="00BC37E7" w:rsidP="00DA031F">
      <w:pPr>
        <w:numPr>
          <w:ilvl w:val="0"/>
          <w:numId w:val="12"/>
        </w:numPr>
        <w:tabs>
          <w:tab w:val="clear" w:pos="720"/>
          <w:tab w:val="num" w:pos="360"/>
        </w:tabs>
        <w:spacing w:after="120" w:line="240" w:lineRule="auto"/>
        <w:ind w:left="360"/>
        <w:jc w:val="both"/>
        <w:rPr>
          <w:rFonts w:cs="Arial"/>
        </w:rPr>
      </w:pPr>
      <w:r>
        <w:rPr>
          <w:rFonts w:cs="Arial"/>
        </w:rPr>
        <w:t>Future u</w:t>
      </w:r>
      <w:r w:rsidR="007B7701">
        <w:rPr>
          <w:rFonts w:cs="Arial"/>
        </w:rPr>
        <w:t>nderperformance</w:t>
      </w:r>
      <w:r w:rsidR="004B33FA" w:rsidRPr="007B7701">
        <w:rPr>
          <w:rFonts w:cs="Arial"/>
        </w:rPr>
        <w:t xml:space="preserve"> arising as a result of participating in the </w:t>
      </w:r>
      <w:r>
        <w:rPr>
          <w:rFonts w:cs="Arial"/>
        </w:rPr>
        <w:t xml:space="preserve">larger </w:t>
      </w:r>
      <w:r w:rsidR="004B33FA" w:rsidRPr="007B7701">
        <w:rPr>
          <w:rFonts w:cs="Arial"/>
        </w:rPr>
        <w:t>asset pool</w:t>
      </w:r>
      <w:r>
        <w:rPr>
          <w:rFonts w:cs="Arial"/>
        </w:rPr>
        <w:t>ing vehicle</w:t>
      </w:r>
      <w:r w:rsidR="004B33FA" w:rsidRPr="007B7701">
        <w:rPr>
          <w:rFonts w:cs="Arial"/>
        </w:rPr>
        <w:t>.</w:t>
      </w:r>
    </w:p>
    <w:p w14:paraId="59B86D1B" w14:textId="77777777" w:rsidR="004E58EA" w:rsidRPr="004E58EA" w:rsidRDefault="004E58EA" w:rsidP="004E58EA">
      <w:pPr>
        <w:spacing w:after="120"/>
        <w:jc w:val="both"/>
        <w:rPr>
          <w:rFonts w:cs="Arial"/>
        </w:rPr>
      </w:pPr>
      <w:r w:rsidRPr="004E58EA">
        <w:rPr>
          <w:rFonts w:cs="Arial"/>
        </w:rPr>
        <w:t>Any increase in employer contribution rates (as a result of these risks), may in turn impact on the service delivery of that employer and their financial position.</w:t>
      </w:r>
    </w:p>
    <w:p w14:paraId="4D456C29" w14:textId="77777777" w:rsidR="00EE5C08" w:rsidRDefault="00EE5C08" w:rsidP="00EE5C08">
      <w:pPr>
        <w:spacing w:after="120"/>
        <w:jc w:val="both"/>
        <w:rPr>
          <w:rFonts w:cs="Arial"/>
        </w:rPr>
      </w:pPr>
      <w:r w:rsidRPr="00955A1B">
        <w:rPr>
          <w:rFonts w:cs="Arial"/>
        </w:rPr>
        <w:t xml:space="preserve">In practice the extent to which these risks can be reduced is limited. However, the Fund’s asset allocation is kept under constant review and the performance of the investment managers is regularly monitored. </w:t>
      </w:r>
    </w:p>
    <w:p w14:paraId="1F3CFAF7" w14:textId="77777777" w:rsidR="00B01CB6" w:rsidRPr="00955A1B" w:rsidRDefault="00B01CB6" w:rsidP="00EE5C08">
      <w:pPr>
        <w:spacing w:after="120"/>
        <w:jc w:val="both"/>
        <w:rPr>
          <w:rFonts w:cs="Arial"/>
        </w:rPr>
      </w:pPr>
    </w:p>
    <w:p w14:paraId="7B5343CC" w14:textId="77777777" w:rsidR="00EE5C08" w:rsidRPr="00AC2053" w:rsidRDefault="00EE5C08" w:rsidP="00EE5C08">
      <w:pPr>
        <w:pStyle w:val="Heading10"/>
      </w:pPr>
      <w:r w:rsidRPr="00AC2053">
        <w:t>Demographic</w:t>
      </w:r>
    </w:p>
    <w:p w14:paraId="445CE052" w14:textId="77777777" w:rsidR="00EE5C08" w:rsidRPr="00955A1B" w:rsidRDefault="00EE5C08" w:rsidP="00EE5C08">
      <w:pPr>
        <w:spacing w:after="120"/>
        <w:jc w:val="both"/>
        <w:rPr>
          <w:rFonts w:cs="Arial"/>
        </w:rPr>
      </w:pPr>
      <w:r w:rsidRPr="00955A1B">
        <w:rPr>
          <w:rFonts w:cs="Arial"/>
        </w:rPr>
        <w:t>The demographic risks are as follows:-</w:t>
      </w:r>
    </w:p>
    <w:p w14:paraId="3A168354" w14:textId="77777777" w:rsidR="00EE5C08" w:rsidRPr="00955A1B" w:rsidRDefault="00EE5C08" w:rsidP="00DA031F">
      <w:pPr>
        <w:numPr>
          <w:ilvl w:val="0"/>
          <w:numId w:val="13"/>
        </w:numPr>
        <w:tabs>
          <w:tab w:val="clear" w:pos="720"/>
          <w:tab w:val="num" w:pos="360"/>
        </w:tabs>
        <w:spacing w:after="120" w:line="240" w:lineRule="auto"/>
        <w:ind w:left="360"/>
        <w:jc w:val="both"/>
        <w:rPr>
          <w:rFonts w:cs="Arial"/>
        </w:rPr>
      </w:pPr>
      <w:r w:rsidRPr="00955A1B">
        <w:rPr>
          <w:rFonts w:cs="Arial"/>
        </w:rPr>
        <w:t>Longevity horizon continues to expand</w:t>
      </w:r>
    </w:p>
    <w:p w14:paraId="6474DF78" w14:textId="0549132E" w:rsidR="00BC37E7" w:rsidRDefault="00EE5C08" w:rsidP="00DA031F">
      <w:pPr>
        <w:numPr>
          <w:ilvl w:val="0"/>
          <w:numId w:val="13"/>
        </w:numPr>
        <w:tabs>
          <w:tab w:val="clear" w:pos="720"/>
          <w:tab w:val="num" w:pos="360"/>
        </w:tabs>
        <w:spacing w:after="120" w:line="240" w:lineRule="auto"/>
        <w:ind w:left="360"/>
        <w:jc w:val="both"/>
        <w:rPr>
          <w:rFonts w:cs="Arial"/>
        </w:rPr>
      </w:pPr>
      <w:r w:rsidRPr="00955A1B">
        <w:rPr>
          <w:rFonts w:cs="Arial"/>
        </w:rPr>
        <w:t>Deteriorating pattern of early retirements</w:t>
      </w:r>
      <w:r>
        <w:rPr>
          <w:rFonts w:cs="Arial"/>
        </w:rPr>
        <w:t xml:space="preserve"> (including those granted on the grounds of ill health)</w:t>
      </w:r>
    </w:p>
    <w:p w14:paraId="79919444" w14:textId="385B305C" w:rsidR="00BC37E7" w:rsidRDefault="00BC37E7" w:rsidP="00DA031F">
      <w:pPr>
        <w:numPr>
          <w:ilvl w:val="0"/>
          <w:numId w:val="13"/>
        </w:numPr>
        <w:tabs>
          <w:tab w:val="clear" w:pos="720"/>
          <w:tab w:val="num" w:pos="360"/>
        </w:tabs>
        <w:spacing w:after="120" w:line="240" w:lineRule="auto"/>
        <w:ind w:left="360"/>
        <w:jc w:val="both"/>
        <w:rPr>
          <w:rFonts w:cs="Arial"/>
        </w:rPr>
      </w:pPr>
      <w:r>
        <w:rPr>
          <w:rFonts w:cs="Arial"/>
        </w:rPr>
        <w:t xml:space="preserve">Unanticipated acceleration of the maturing of the </w:t>
      </w:r>
      <w:r w:rsidR="003952F8">
        <w:rPr>
          <w:rFonts w:cs="Arial"/>
        </w:rPr>
        <w:t>Fund</w:t>
      </w:r>
      <w:r>
        <w:rPr>
          <w:rFonts w:cs="Arial"/>
        </w:rPr>
        <w:t xml:space="preserve"> resulting in materially negative cashflows and shortening of liability durations </w:t>
      </w:r>
    </w:p>
    <w:p w14:paraId="31B51BB9" w14:textId="0549132E" w:rsidR="00EE5C08" w:rsidRPr="00955A1B" w:rsidRDefault="00EE5C08" w:rsidP="00EE5C08">
      <w:pPr>
        <w:spacing w:after="120"/>
        <w:jc w:val="both"/>
        <w:rPr>
          <w:rFonts w:cs="Arial"/>
        </w:rPr>
      </w:pPr>
      <w:r w:rsidRPr="00955A1B">
        <w:rPr>
          <w:rFonts w:cs="Arial"/>
        </w:rPr>
        <w:t>Increasing longevity is something which government policies, both national and local, are designed to promote. It does, however, result in a greater liability for pension funds.</w:t>
      </w:r>
    </w:p>
    <w:p w14:paraId="0BF554F0" w14:textId="38621C90" w:rsidR="00EE5C08" w:rsidRDefault="00EE5C08" w:rsidP="00EE5C08">
      <w:pPr>
        <w:spacing w:after="120"/>
        <w:jc w:val="both"/>
        <w:rPr>
          <w:rFonts w:cs="Arial"/>
        </w:rPr>
      </w:pPr>
      <w:r w:rsidRPr="00955A1B">
        <w:rPr>
          <w:rFonts w:cs="Arial"/>
        </w:rPr>
        <w:t xml:space="preserve">Apart from the regulatory procedures in place to ensure that ill-health retirements are properly controlled, </w:t>
      </w:r>
      <w:r w:rsidRPr="0039329B">
        <w:rPr>
          <w:rFonts w:cs="Arial"/>
          <w:b/>
        </w:rPr>
        <w:t>employing bodies should be doing everything in their power to minimise the number of ill-health retirements</w:t>
      </w:r>
      <w:r w:rsidRPr="0039329B">
        <w:rPr>
          <w:rFonts w:cs="Arial"/>
        </w:rPr>
        <w:t>.</w:t>
      </w:r>
      <w:r w:rsidRPr="00955A1B">
        <w:rPr>
          <w:rFonts w:cs="Arial"/>
        </w:rPr>
        <w:t xml:space="preserve"> Early retirements for reasons of redundancy and efficiency do not affect the solvency of the </w:t>
      </w:r>
      <w:r w:rsidR="003952F8">
        <w:rPr>
          <w:rFonts w:cs="Arial"/>
        </w:rPr>
        <w:t>Fund</w:t>
      </w:r>
      <w:r w:rsidRPr="00955A1B">
        <w:rPr>
          <w:rFonts w:cs="Arial"/>
        </w:rPr>
        <w:t xml:space="preserve"> because they are the subject of a direct charge.</w:t>
      </w:r>
    </w:p>
    <w:p w14:paraId="007253EC" w14:textId="4D1A78EB" w:rsidR="00BC37E7" w:rsidRDefault="00BC37E7" w:rsidP="00EE5C08">
      <w:pPr>
        <w:spacing w:after="120"/>
        <w:jc w:val="both"/>
        <w:rPr>
          <w:rFonts w:cs="Arial"/>
        </w:rPr>
      </w:pPr>
      <w:r>
        <w:rPr>
          <w:rFonts w:cs="Arial"/>
        </w:rPr>
        <w:t xml:space="preserve">With regards to increasing maturity (e.g. due to further cuts in workforce and/or restrictions on new employees accessing the </w:t>
      </w:r>
      <w:r w:rsidR="003952F8">
        <w:rPr>
          <w:rFonts w:cs="Arial"/>
        </w:rPr>
        <w:t>Fund</w:t>
      </w:r>
      <w:r w:rsidR="00BE2487">
        <w:rPr>
          <w:rFonts w:cs="Arial"/>
        </w:rPr>
        <w:t>)</w:t>
      </w:r>
      <w:r>
        <w:rPr>
          <w:rFonts w:cs="Arial"/>
        </w:rPr>
        <w:t xml:space="preserve">, the Administering Authority regularly monitors the position in terms of cashflow requirements and considers the impact on the investment strategy.  </w:t>
      </w:r>
    </w:p>
    <w:p w14:paraId="2C5DCACE" w14:textId="77777777" w:rsidR="006F78CE" w:rsidRDefault="006F78CE" w:rsidP="00EE5C08">
      <w:pPr>
        <w:spacing w:after="120"/>
        <w:jc w:val="both"/>
        <w:rPr>
          <w:rFonts w:cs="Arial"/>
        </w:rPr>
      </w:pPr>
    </w:p>
    <w:p w14:paraId="5DC82EA9" w14:textId="77777777" w:rsidR="00EE5C08" w:rsidRPr="006F78CE" w:rsidRDefault="00EE5C08" w:rsidP="00EE5C08">
      <w:pPr>
        <w:pStyle w:val="Heading10"/>
      </w:pPr>
      <w:r w:rsidRPr="006F78CE">
        <w:t>Insurance of certain benefits</w:t>
      </w:r>
    </w:p>
    <w:p w14:paraId="2539F9DC" w14:textId="77777777" w:rsidR="006F78CE" w:rsidRDefault="00434F3C" w:rsidP="00EE5C08">
      <w:pPr>
        <w:spacing w:after="120"/>
        <w:jc w:val="both"/>
        <w:rPr>
          <w:rFonts w:cs="Arial"/>
        </w:rPr>
      </w:pPr>
      <w:r w:rsidRPr="00567857">
        <w:rPr>
          <w:rFonts w:cs="Arial"/>
        </w:rPr>
        <w:t xml:space="preserve">The contributions for any employer may be varied as agreed by the Actuary and Administering Authority to reflect any changes in contribution requirements as a result of any benefit costs being insured with a third party or internally within the Fund.  </w:t>
      </w:r>
    </w:p>
    <w:p w14:paraId="63B3016E" w14:textId="79296512" w:rsidR="00EE5C08" w:rsidRPr="00B01CB6" w:rsidRDefault="00EE5C08" w:rsidP="00EE5C08">
      <w:pPr>
        <w:spacing w:after="120"/>
        <w:jc w:val="both"/>
        <w:rPr>
          <w:rFonts w:cs="Arial"/>
        </w:rPr>
      </w:pPr>
    </w:p>
    <w:p w14:paraId="654AB259" w14:textId="77777777" w:rsidR="00EE5C08" w:rsidRPr="00AC2053" w:rsidRDefault="00EE5C08" w:rsidP="00EE5C08">
      <w:pPr>
        <w:pStyle w:val="Heading10"/>
      </w:pPr>
      <w:r w:rsidRPr="00AC2053">
        <w:t>Regulatory</w:t>
      </w:r>
    </w:p>
    <w:p w14:paraId="7DA8F4EB" w14:textId="20168188" w:rsidR="00EE5C08" w:rsidRPr="00955A1B" w:rsidRDefault="00EE5C08" w:rsidP="00EE5C08">
      <w:pPr>
        <w:spacing w:after="120"/>
        <w:jc w:val="both"/>
        <w:rPr>
          <w:rFonts w:cs="Arial"/>
        </w:rPr>
      </w:pPr>
      <w:r w:rsidRPr="00955A1B">
        <w:rPr>
          <w:rFonts w:cs="Arial"/>
        </w:rPr>
        <w:t xml:space="preserve">The </w:t>
      </w:r>
      <w:r w:rsidR="00A31408">
        <w:rPr>
          <w:rFonts w:cs="Arial"/>
        </w:rPr>
        <w:t xml:space="preserve">key </w:t>
      </w:r>
      <w:r w:rsidRPr="00955A1B">
        <w:rPr>
          <w:rFonts w:cs="Arial"/>
        </w:rPr>
        <w:t>regulatory risks are as follows:-</w:t>
      </w:r>
    </w:p>
    <w:p w14:paraId="55C8CD7C" w14:textId="08CB9CA0" w:rsidR="00EE5C08" w:rsidRPr="00955A1B" w:rsidRDefault="00EE5C08" w:rsidP="00DA031F">
      <w:pPr>
        <w:numPr>
          <w:ilvl w:val="0"/>
          <w:numId w:val="14"/>
        </w:numPr>
        <w:tabs>
          <w:tab w:val="clear" w:pos="720"/>
          <w:tab w:val="num" w:pos="360"/>
        </w:tabs>
        <w:spacing w:after="120" w:line="240" w:lineRule="auto"/>
        <w:ind w:left="360"/>
        <w:jc w:val="both"/>
        <w:rPr>
          <w:rFonts w:cs="Arial"/>
        </w:rPr>
      </w:pPr>
      <w:r w:rsidRPr="00955A1B">
        <w:rPr>
          <w:rFonts w:cs="Arial"/>
        </w:rPr>
        <w:t xml:space="preserve">Changes to Regulations, e.g. </w:t>
      </w:r>
      <w:r>
        <w:rPr>
          <w:rFonts w:cs="Arial"/>
        </w:rPr>
        <w:t xml:space="preserve">changes to the </w:t>
      </w:r>
      <w:r w:rsidRPr="00955A1B">
        <w:rPr>
          <w:rFonts w:cs="Arial"/>
        </w:rPr>
        <w:t>benefits package</w:t>
      </w:r>
      <w:r>
        <w:rPr>
          <w:rFonts w:cs="Arial"/>
        </w:rPr>
        <w:t>, retirement age</w:t>
      </w:r>
      <w:r w:rsidRPr="00955A1B">
        <w:rPr>
          <w:rFonts w:cs="Arial"/>
        </w:rPr>
        <w:t xml:space="preserve">, potential new entrants to </w:t>
      </w:r>
      <w:r w:rsidR="00177D13">
        <w:rPr>
          <w:rFonts w:cs="Arial"/>
        </w:rPr>
        <w:t>Fund</w:t>
      </w:r>
      <w:r w:rsidRPr="00955A1B">
        <w:rPr>
          <w:rFonts w:cs="Arial"/>
        </w:rPr>
        <w:t xml:space="preserve">, </w:t>
      </w:r>
    </w:p>
    <w:p w14:paraId="13800077" w14:textId="2DBC0206" w:rsidR="00EE5C08" w:rsidRPr="00955A1B" w:rsidRDefault="00EE5C08" w:rsidP="00DA031F">
      <w:pPr>
        <w:numPr>
          <w:ilvl w:val="0"/>
          <w:numId w:val="14"/>
        </w:numPr>
        <w:tabs>
          <w:tab w:val="clear" w:pos="720"/>
          <w:tab w:val="num" w:pos="360"/>
        </w:tabs>
        <w:spacing w:after="120" w:line="240" w:lineRule="auto"/>
        <w:ind w:left="360"/>
        <w:jc w:val="both"/>
        <w:rPr>
          <w:rFonts w:cs="Arial"/>
        </w:rPr>
      </w:pPr>
      <w:r w:rsidRPr="00955A1B">
        <w:rPr>
          <w:rFonts w:cs="Arial"/>
        </w:rPr>
        <w:t xml:space="preserve">Changes to national pension requirements and/or </w:t>
      </w:r>
      <w:r w:rsidR="00BC37E7">
        <w:rPr>
          <w:rFonts w:cs="Arial"/>
        </w:rPr>
        <w:t>HMRC</w:t>
      </w:r>
      <w:r w:rsidRPr="00955A1B">
        <w:rPr>
          <w:rFonts w:cs="Arial"/>
        </w:rPr>
        <w:t xml:space="preserve"> Rules</w:t>
      </w:r>
    </w:p>
    <w:p w14:paraId="730532F4" w14:textId="349D7A2A" w:rsidR="00B01CB6" w:rsidRDefault="00EE5C08" w:rsidP="00EE5C08">
      <w:pPr>
        <w:spacing w:after="120"/>
        <w:jc w:val="both"/>
        <w:rPr>
          <w:rFonts w:cs="Arial"/>
        </w:rPr>
      </w:pPr>
      <w:r w:rsidRPr="00955A1B">
        <w:rPr>
          <w:rFonts w:cs="Arial"/>
        </w:rPr>
        <w:t xml:space="preserve">Membership of the </w:t>
      </w:r>
      <w:r w:rsidR="0092116C">
        <w:rPr>
          <w:rFonts w:cs="Arial"/>
        </w:rPr>
        <w:t>LGPS</w:t>
      </w:r>
      <w:r w:rsidRPr="00955A1B">
        <w:rPr>
          <w:rFonts w:cs="Arial"/>
        </w:rPr>
        <w:t xml:space="preserve"> is open to all local government staff and should be encouraged as a valuable part of the contract of employment. However, increasing membership does result in higher employer </w:t>
      </w:r>
      <w:r w:rsidR="00BC37E7">
        <w:rPr>
          <w:rFonts w:cs="Arial"/>
        </w:rPr>
        <w:t xml:space="preserve">monetary </w:t>
      </w:r>
      <w:r w:rsidRPr="00955A1B">
        <w:rPr>
          <w:rFonts w:cs="Arial"/>
        </w:rPr>
        <w:t xml:space="preserve">costs. </w:t>
      </w:r>
    </w:p>
    <w:p w14:paraId="11BF0B99" w14:textId="77777777" w:rsidR="006F78CE" w:rsidRDefault="006F78CE" w:rsidP="00EE5C08">
      <w:pPr>
        <w:spacing w:after="120"/>
        <w:jc w:val="both"/>
        <w:rPr>
          <w:rFonts w:cs="Arial"/>
        </w:rPr>
      </w:pPr>
    </w:p>
    <w:p w14:paraId="22B5DD8B" w14:textId="77777777" w:rsidR="00EE5C08" w:rsidRPr="00AC2053" w:rsidRDefault="00EE5C08" w:rsidP="00EE5C08">
      <w:pPr>
        <w:pStyle w:val="Heading10"/>
      </w:pPr>
      <w:r w:rsidRPr="00AC2053">
        <w:t>Governance</w:t>
      </w:r>
    </w:p>
    <w:p w14:paraId="3600E50E" w14:textId="3E63CAA7" w:rsidR="00EE5C08" w:rsidRDefault="00EE5C08" w:rsidP="00EE5C08">
      <w:pPr>
        <w:spacing w:after="120"/>
        <w:jc w:val="both"/>
        <w:rPr>
          <w:rFonts w:cs="Arial"/>
        </w:rPr>
      </w:pPr>
      <w:r>
        <w:rPr>
          <w:rFonts w:cs="Arial"/>
        </w:rPr>
        <w:t xml:space="preserve">The </w:t>
      </w:r>
      <w:r w:rsidR="00177D13">
        <w:rPr>
          <w:rFonts w:cs="Arial"/>
        </w:rPr>
        <w:t>Fund</w:t>
      </w:r>
      <w:r>
        <w:rPr>
          <w:rFonts w:cs="Arial"/>
        </w:rPr>
        <w:t xml:space="preserve"> has done as much as it believes it reasonably can to enable employing bodies and </w:t>
      </w:r>
      <w:r w:rsidR="00177D13">
        <w:rPr>
          <w:rFonts w:cs="Arial"/>
        </w:rPr>
        <w:t>Fund</w:t>
      </w:r>
      <w:r>
        <w:rPr>
          <w:rFonts w:cs="Arial"/>
        </w:rPr>
        <w:t xml:space="preserve"> members (via their trades unions) to make their views known to the </w:t>
      </w:r>
      <w:r w:rsidR="00177D13">
        <w:rPr>
          <w:rFonts w:cs="Arial"/>
        </w:rPr>
        <w:t>Fund</w:t>
      </w:r>
      <w:r>
        <w:rPr>
          <w:rFonts w:cs="Arial"/>
        </w:rPr>
        <w:t xml:space="preserve"> and to participate in the decision-making process. </w:t>
      </w:r>
    </w:p>
    <w:p w14:paraId="5B600F78" w14:textId="77777777" w:rsidR="00EE5C08" w:rsidRPr="00955A1B" w:rsidRDefault="00EE5C08" w:rsidP="00EE5C08">
      <w:pPr>
        <w:spacing w:after="120"/>
        <w:jc w:val="both"/>
        <w:rPr>
          <w:rFonts w:cs="Arial"/>
        </w:rPr>
      </w:pPr>
      <w:r w:rsidRPr="00955A1B">
        <w:rPr>
          <w:rFonts w:cs="Arial"/>
        </w:rPr>
        <w:t>Governance risks are as follows:-</w:t>
      </w:r>
    </w:p>
    <w:p w14:paraId="553EBE6F" w14:textId="349F9BC5" w:rsidR="00BC37E7" w:rsidRDefault="00BC37E7" w:rsidP="00EE5C08">
      <w:pPr>
        <w:pStyle w:val="Bullet1"/>
      </w:pPr>
      <w:r>
        <w:t>The quality of membership data deteriorates materially due to breakdown in processes for updating the information</w:t>
      </w:r>
      <w:r w:rsidR="00E86483">
        <w:t xml:space="preserve"> resulting in liabilities being under or overstated</w:t>
      </w:r>
    </w:p>
    <w:p w14:paraId="0F3E5014" w14:textId="77777777" w:rsidR="00EE5C08" w:rsidRPr="00955A1B" w:rsidRDefault="00EE5C08" w:rsidP="00EE5C08">
      <w:pPr>
        <w:pStyle w:val="Bullet1"/>
      </w:pPr>
      <w:r w:rsidRPr="00955A1B">
        <w:t>Administering Authority unaware of structural changes in employer’s membership (e.g. large fall in employee numbers, large number of retirements)</w:t>
      </w:r>
      <w:r>
        <w:t xml:space="preserve"> with the result that contribution rates are set at too low a level</w:t>
      </w:r>
    </w:p>
    <w:p w14:paraId="6492CECE" w14:textId="77777777" w:rsidR="00EE5C08" w:rsidRPr="00955A1B" w:rsidRDefault="00EE5C08" w:rsidP="00EE5C08">
      <w:pPr>
        <w:pStyle w:val="Bullet1"/>
      </w:pPr>
      <w:r w:rsidRPr="00955A1B">
        <w:t>Administering Authority not advised of an employer closing to new entrants</w:t>
      </w:r>
      <w:r>
        <w:t>, something which would normally require an increase in contribution rates</w:t>
      </w:r>
    </w:p>
    <w:p w14:paraId="33FDDC7D" w14:textId="77777777" w:rsidR="00080775" w:rsidRDefault="00EE5C08" w:rsidP="00EE5C08">
      <w:pPr>
        <w:pStyle w:val="Bullet1"/>
      </w:pPr>
      <w:r w:rsidRPr="00955A1B">
        <w:t>An employer ceasing to exist with insufficient funding or adequacy of a bond</w:t>
      </w:r>
    </w:p>
    <w:p w14:paraId="6F148FDF" w14:textId="09AFB1D6" w:rsidR="00EE5C08" w:rsidRDefault="00080775" w:rsidP="00EE5C08">
      <w:pPr>
        <w:pStyle w:val="Bullet1"/>
      </w:pPr>
      <w:r>
        <w:t xml:space="preserve">Changes in the </w:t>
      </w:r>
      <w:r w:rsidR="00AE0891" w:rsidRPr="00434F3C">
        <w:t>Committee</w:t>
      </w:r>
      <w:r w:rsidR="00AE0891">
        <w:t xml:space="preserve"> </w:t>
      </w:r>
      <w:r>
        <w:t>membership</w:t>
      </w:r>
      <w:r w:rsidR="00EE5C08" w:rsidRPr="00955A1B">
        <w:t>.</w:t>
      </w:r>
    </w:p>
    <w:p w14:paraId="6F35AAB2" w14:textId="77777777" w:rsidR="002A5920" w:rsidRPr="00955A1B" w:rsidRDefault="002A5920" w:rsidP="002A5920">
      <w:pPr>
        <w:pStyle w:val="Bullet1"/>
        <w:numPr>
          <w:ilvl w:val="0"/>
          <w:numId w:val="0"/>
        </w:numPr>
        <w:ind w:left="288"/>
      </w:pPr>
    </w:p>
    <w:p w14:paraId="02E05274" w14:textId="60632FA9" w:rsidR="00EE5C08" w:rsidRDefault="00EE5C08" w:rsidP="00EE5C08">
      <w:pPr>
        <w:spacing w:after="120"/>
        <w:jc w:val="both"/>
        <w:rPr>
          <w:rFonts w:cs="Arial"/>
        </w:rPr>
      </w:pPr>
      <w:r w:rsidRPr="00955A1B">
        <w:rPr>
          <w:rFonts w:cs="Arial"/>
        </w:rPr>
        <w:t xml:space="preserve">For these risks to be minimised much depends on information being supplied to the Administering Authority by the employing bodies. </w:t>
      </w:r>
      <w:r w:rsidR="00E86483">
        <w:rPr>
          <w:rFonts w:cs="Arial"/>
        </w:rPr>
        <w:t>A</w:t>
      </w:r>
      <w:r w:rsidRPr="00955A1B">
        <w:rPr>
          <w:rFonts w:cs="Arial"/>
        </w:rPr>
        <w:t>rrangements are strictly controlled and monitored</w:t>
      </w:r>
      <w:r w:rsidR="00C0349C">
        <w:rPr>
          <w:rFonts w:cs="Arial"/>
        </w:rPr>
        <w:t>,</w:t>
      </w:r>
      <w:r w:rsidR="00E86483">
        <w:rPr>
          <w:rFonts w:cs="Arial"/>
        </w:rPr>
        <w:t xml:space="preserve"> </w:t>
      </w:r>
      <w:r w:rsidRPr="00955A1B">
        <w:rPr>
          <w:rFonts w:cs="Arial"/>
        </w:rPr>
        <w:t xml:space="preserve">but in most cases the employer, rather than the </w:t>
      </w:r>
      <w:r w:rsidR="00177D13">
        <w:rPr>
          <w:rFonts w:cs="Arial"/>
        </w:rPr>
        <w:t>Fund</w:t>
      </w:r>
      <w:r w:rsidR="00880B8C">
        <w:rPr>
          <w:rFonts w:cs="Arial"/>
        </w:rPr>
        <w:t xml:space="preserve"> as a whole</w:t>
      </w:r>
      <w:r w:rsidRPr="00955A1B">
        <w:rPr>
          <w:rFonts w:cs="Arial"/>
        </w:rPr>
        <w:t>, bears the risk.</w:t>
      </w:r>
    </w:p>
    <w:p w14:paraId="2AAD1ACA" w14:textId="77777777" w:rsidR="00080775" w:rsidRDefault="00080775" w:rsidP="00A204D0">
      <w:pPr>
        <w:pStyle w:val="Heading10"/>
      </w:pPr>
    </w:p>
    <w:p w14:paraId="1338D79C" w14:textId="77777777" w:rsidR="00080775" w:rsidRPr="00A204D0" w:rsidRDefault="00080775" w:rsidP="00A204D0">
      <w:pPr>
        <w:pStyle w:val="DocumentText"/>
      </w:pPr>
    </w:p>
    <w:p w14:paraId="0C688CD2" w14:textId="698B4190" w:rsidR="008A6FA3" w:rsidRDefault="008A6FA3" w:rsidP="008A6FA3">
      <w:pPr>
        <w:pStyle w:val="SectionNumber"/>
      </w:pPr>
      <w:r>
        <w:t>9</w:t>
      </w:r>
    </w:p>
    <w:p w14:paraId="21EF0478" w14:textId="1E5F2694" w:rsidR="008A6FA3" w:rsidRDefault="008A6FA3" w:rsidP="008A6FA3">
      <w:pPr>
        <w:pStyle w:val="SectionHeading"/>
      </w:pPr>
      <w:bookmarkStart w:id="9" w:name="_Toc453168468"/>
      <w:r>
        <w:t>Monitoring and review</w:t>
      </w:r>
      <w:bookmarkEnd w:id="9"/>
    </w:p>
    <w:p w14:paraId="452BC42C" w14:textId="1BDBC7F8" w:rsidR="00B81A91" w:rsidRPr="00955A1B" w:rsidRDefault="00B81A91" w:rsidP="00B81A91">
      <w:pPr>
        <w:spacing w:after="120"/>
        <w:jc w:val="both"/>
        <w:rPr>
          <w:rFonts w:cs="Arial"/>
        </w:rPr>
      </w:pPr>
      <w:r w:rsidRPr="00955A1B">
        <w:rPr>
          <w:rFonts w:cs="Arial"/>
        </w:rPr>
        <w:t>The Administering Authority has taken advice from the actuary in preparing this Statement</w:t>
      </w:r>
      <w:r w:rsidR="00BE2487">
        <w:rPr>
          <w:rFonts w:cs="Arial"/>
        </w:rPr>
        <w:t xml:space="preserve">, </w:t>
      </w:r>
      <w:r w:rsidR="00BE2487" w:rsidRPr="00F82096">
        <w:rPr>
          <w:rFonts w:cs="Arial"/>
        </w:rPr>
        <w:t xml:space="preserve">and has consulted with the employers participating in the </w:t>
      </w:r>
      <w:r w:rsidR="00177D13">
        <w:rPr>
          <w:rFonts w:cs="Arial"/>
        </w:rPr>
        <w:t>Fund</w:t>
      </w:r>
      <w:r w:rsidRPr="00955A1B">
        <w:rPr>
          <w:rFonts w:cs="Arial"/>
        </w:rPr>
        <w:t>.</w:t>
      </w:r>
    </w:p>
    <w:p w14:paraId="3B11B14A" w14:textId="77777777" w:rsidR="00B81A91" w:rsidRPr="00955A1B" w:rsidRDefault="00B81A91" w:rsidP="00B81A91">
      <w:pPr>
        <w:spacing w:after="120"/>
        <w:jc w:val="both"/>
        <w:rPr>
          <w:rFonts w:cs="Arial"/>
        </w:rPr>
      </w:pPr>
      <w:r w:rsidRPr="00955A1B">
        <w:rPr>
          <w:rFonts w:cs="Arial"/>
        </w:rPr>
        <w:t>A full review of this Statement will occur no less frequently than every three years, to coincide with completion of a full actuarial valuation. Any review will take account of the current economic conditions and will also reflect any legislative changes.</w:t>
      </w:r>
    </w:p>
    <w:p w14:paraId="30CB3901" w14:textId="174CC66E" w:rsidR="00B81A91" w:rsidRPr="00955A1B" w:rsidRDefault="00B81A91" w:rsidP="00B81A91">
      <w:pPr>
        <w:spacing w:after="120"/>
        <w:jc w:val="both"/>
        <w:rPr>
          <w:rFonts w:cs="Arial"/>
        </w:rPr>
      </w:pPr>
      <w:r w:rsidRPr="00955A1B">
        <w:rPr>
          <w:rFonts w:cs="Arial"/>
        </w:rPr>
        <w:t>The Administering Authority will monitor the progress of the funding strategy between full actuarial valuations. If considered appropriate, the funding strategy will be reviewed (other than as part of the triennial valuation process), for example</w:t>
      </w:r>
      <w:r>
        <w:rPr>
          <w:rFonts w:cs="Arial"/>
        </w:rPr>
        <w:t>, if there</w:t>
      </w:r>
      <w:r w:rsidRPr="00955A1B">
        <w:rPr>
          <w:rFonts w:cs="Arial"/>
        </w:rPr>
        <w:t>:</w:t>
      </w:r>
    </w:p>
    <w:p w14:paraId="7F569C06" w14:textId="77652081" w:rsidR="00B81A91" w:rsidRPr="00955A1B" w:rsidRDefault="00B81A91" w:rsidP="00B81A91">
      <w:pPr>
        <w:pStyle w:val="Bullet1"/>
      </w:pPr>
      <w:r w:rsidRPr="00955A1B">
        <w:t>has been a significant change in market conditions, and/or deviation in the progress of the funding strategy</w:t>
      </w:r>
    </w:p>
    <w:p w14:paraId="38AC8904" w14:textId="01E38889" w:rsidR="00B81A91" w:rsidRPr="00955A1B" w:rsidRDefault="00B81A91" w:rsidP="00B81A91">
      <w:pPr>
        <w:pStyle w:val="Bullet1"/>
      </w:pPr>
      <w:r>
        <w:t>h</w:t>
      </w:r>
      <w:r w:rsidRPr="00955A1B">
        <w:t xml:space="preserve">ave been significant changes to the </w:t>
      </w:r>
      <w:r w:rsidR="00177D13">
        <w:rPr>
          <w:rFonts w:cs="Arial"/>
        </w:rPr>
        <w:t>Fund</w:t>
      </w:r>
      <w:r w:rsidRPr="00955A1B">
        <w:t xml:space="preserve"> membership, or LGPS benefits</w:t>
      </w:r>
    </w:p>
    <w:p w14:paraId="4E113B70" w14:textId="50F32BE4" w:rsidR="00B81A91" w:rsidRPr="00955A1B" w:rsidRDefault="00B81A91" w:rsidP="00B81A91">
      <w:pPr>
        <w:pStyle w:val="Bullet1"/>
      </w:pPr>
      <w:r w:rsidRPr="00955A1B">
        <w:t>have been changes to the circumstances of any of the employing authorities to such an extent that they impact on or warrant a change in the funding strategy</w:t>
      </w:r>
    </w:p>
    <w:p w14:paraId="0622217D" w14:textId="55BEA520" w:rsidR="00B81A91" w:rsidRDefault="00B81A91" w:rsidP="00B81A91">
      <w:pPr>
        <w:pStyle w:val="Bullet1"/>
      </w:pPr>
      <w:r w:rsidRPr="00955A1B">
        <w:t xml:space="preserve">have been any significant special contributions paid into the </w:t>
      </w:r>
      <w:r w:rsidR="00177D13">
        <w:rPr>
          <w:rFonts w:cs="Arial"/>
        </w:rPr>
        <w:t>Fund</w:t>
      </w:r>
      <w:r w:rsidRPr="00955A1B">
        <w:t>.</w:t>
      </w:r>
    </w:p>
    <w:p w14:paraId="1E80F723" w14:textId="77777777" w:rsidR="00B81A91" w:rsidRPr="00955A1B" w:rsidRDefault="00B81A91" w:rsidP="00B81A91">
      <w:pPr>
        <w:pStyle w:val="Bullet1"/>
        <w:numPr>
          <w:ilvl w:val="0"/>
          <w:numId w:val="0"/>
        </w:numPr>
      </w:pPr>
    </w:p>
    <w:p w14:paraId="7E0B2224" w14:textId="44D41595" w:rsidR="00B81A91" w:rsidRPr="00B81A91" w:rsidRDefault="00B81A91" w:rsidP="00B81A91">
      <w:pPr>
        <w:pStyle w:val="DocumentText"/>
      </w:pPr>
      <w:r w:rsidRPr="00FE3A3E">
        <w:rPr>
          <w:rFonts w:cs="Arial"/>
          <w:bCs/>
        </w:rPr>
        <w:t>When monitoring the funding strategy, if the Administering Authority considers that any action is required, the relevant employing authorities will be contacted. In the case of admitted bodies, there is statutory provision for rates to be amended between valuations but it is unlikely that this power will be invoked other than in exceptional circumstances.</w:t>
      </w:r>
    </w:p>
    <w:p w14:paraId="0C3B945B" w14:textId="7BB83E8C" w:rsidR="000140AE" w:rsidRDefault="000140AE" w:rsidP="000140AE">
      <w:pPr>
        <w:spacing w:after="0" w:line="240" w:lineRule="auto"/>
        <w:rPr>
          <w:rFonts w:ascii="Arial Bold" w:hAnsi="Arial Bold"/>
          <w:b/>
          <w:bCs/>
          <w:color w:val="00A8C8" w:themeColor="accent2"/>
          <w:spacing w:val="60"/>
        </w:rPr>
      </w:pPr>
    </w:p>
    <w:p w14:paraId="664469E8" w14:textId="77777777" w:rsidR="00B82B19" w:rsidRDefault="00B82B19" w:rsidP="000140AE">
      <w:pPr>
        <w:spacing w:after="0" w:line="240" w:lineRule="auto"/>
        <w:rPr>
          <w:rFonts w:ascii="Arial Bold" w:hAnsi="Arial Bold"/>
          <w:b/>
          <w:bCs/>
          <w:color w:val="00A8C8" w:themeColor="accent2"/>
          <w:spacing w:val="60"/>
        </w:rPr>
      </w:pPr>
    </w:p>
    <w:p w14:paraId="0C3B945C" w14:textId="4B0B3255" w:rsidR="000140AE" w:rsidRPr="00EF43C4" w:rsidRDefault="000140AE" w:rsidP="000140AE"/>
    <w:p w14:paraId="0C3B945D" w14:textId="77777777" w:rsidR="000140AE" w:rsidRDefault="000140AE" w:rsidP="000140AE"/>
    <w:p w14:paraId="0C3B945E" w14:textId="77777777" w:rsidR="000140AE" w:rsidRDefault="000140AE" w:rsidP="000140AE"/>
    <w:p w14:paraId="0C3B945F" w14:textId="77777777" w:rsidR="000140AE" w:rsidRDefault="000140AE" w:rsidP="000140AE"/>
    <w:p w14:paraId="0C3B9460" w14:textId="77777777" w:rsidR="000140AE" w:rsidRDefault="000140AE" w:rsidP="000140AE"/>
    <w:p w14:paraId="0C3B9461" w14:textId="77777777" w:rsidR="000140AE" w:rsidRDefault="000140AE" w:rsidP="000140AE"/>
    <w:p w14:paraId="0C3B9462" w14:textId="77777777" w:rsidR="000140AE" w:rsidRDefault="000140AE" w:rsidP="000140AE"/>
    <w:p w14:paraId="0C3B9463" w14:textId="77777777" w:rsidR="000140AE" w:rsidRDefault="000140AE" w:rsidP="00FF6F2F">
      <w:pPr>
        <w:pStyle w:val="DocumentText"/>
        <w:rPr>
          <w:lang w:val="en-GB"/>
        </w:rPr>
      </w:pPr>
    </w:p>
    <w:p w14:paraId="0C3B9464" w14:textId="77777777" w:rsidR="000140AE" w:rsidRDefault="000140AE" w:rsidP="00FF6F2F">
      <w:pPr>
        <w:pStyle w:val="DocumentText"/>
        <w:rPr>
          <w:lang w:val="en-GB"/>
        </w:rPr>
      </w:pPr>
    </w:p>
    <w:p w14:paraId="0C3B9465" w14:textId="77777777" w:rsidR="0026229B" w:rsidRDefault="0026229B" w:rsidP="00FF6F2F">
      <w:pPr>
        <w:pStyle w:val="DocumentText"/>
        <w:rPr>
          <w:lang w:val="en-GB"/>
        </w:rPr>
      </w:pPr>
    </w:p>
    <w:p w14:paraId="70EEB34C" w14:textId="77777777" w:rsidR="008067F7" w:rsidRDefault="008067F7" w:rsidP="00FF6F2F">
      <w:pPr>
        <w:pStyle w:val="DocumentText"/>
        <w:rPr>
          <w:lang w:val="en-GB"/>
        </w:rPr>
      </w:pPr>
    </w:p>
    <w:p w14:paraId="02CD3070" w14:textId="2B02DFEF" w:rsidR="008067F7" w:rsidRDefault="008067F7" w:rsidP="008067F7">
      <w:pPr>
        <w:pStyle w:val="AppendixTitle"/>
        <w:rPr>
          <w:lang w:val="en-GB"/>
        </w:rPr>
      </w:pPr>
      <w:r>
        <w:rPr>
          <w:lang w:val="en-GB"/>
        </w:rPr>
        <w:t>Appendix A</w:t>
      </w:r>
      <w:r w:rsidR="000B3D58">
        <w:rPr>
          <w:lang w:val="en-GB"/>
        </w:rPr>
        <w:t xml:space="preserve"> - ACTUARIAL METHOD AND ASSUMPTIONS</w:t>
      </w:r>
    </w:p>
    <w:p w14:paraId="16EC83F5" w14:textId="77777777" w:rsidR="00CD4142" w:rsidRDefault="00CD4142" w:rsidP="00CD4142">
      <w:pPr>
        <w:rPr>
          <w:lang w:val="en-GB"/>
        </w:rPr>
      </w:pPr>
    </w:p>
    <w:p w14:paraId="3D1C379F" w14:textId="77777777" w:rsidR="007E77EE" w:rsidRPr="00042015" w:rsidRDefault="007E77EE" w:rsidP="007E77EE">
      <w:pPr>
        <w:pStyle w:val="Heading10"/>
        <w:rPr>
          <w:rFonts w:cs="Arial"/>
          <w:b/>
          <w:bCs/>
          <w:color w:val="993366"/>
        </w:rPr>
      </w:pPr>
      <w:r w:rsidRPr="007E77EE">
        <w:t>Method</w:t>
      </w:r>
    </w:p>
    <w:p w14:paraId="43739BC5" w14:textId="400F9C2A" w:rsidR="007E77EE" w:rsidRDefault="007E77EE" w:rsidP="007E77EE">
      <w:pPr>
        <w:jc w:val="both"/>
        <w:rPr>
          <w:rFonts w:cs="Arial"/>
        </w:rPr>
      </w:pPr>
      <w:r w:rsidRPr="009A05AB">
        <w:rPr>
          <w:rFonts w:cs="Arial"/>
        </w:rPr>
        <w:t xml:space="preserve">The actuarial method to be used in the calculation of the </w:t>
      </w:r>
      <w:r w:rsidR="00F24C33">
        <w:rPr>
          <w:rFonts w:cs="Arial"/>
        </w:rPr>
        <w:t xml:space="preserve">solvency </w:t>
      </w:r>
      <w:r w:rsidRPr="009A05AB">
        <w:rPr>
          <w:rFonts w:cs="Arial"/>
        </w:rPr>
        <w:t xml:space="preserve">funding target is the Projected Unit method, under which the salary increases assumed for each member are projected until that member is assumed to leave active service by death, retirement or withdrawal from service. This method implicitly allows for new entrants to the </w:t>
      </w:r>
      <w:r w:rsidR="00177D13">
        <w:rPr>
          <w:rFonts w:cs="Arial"/>
        </w:rPr>
        <w:t>Fund</w:t>
      </w:r>
      <w:r w:rsidRPr="009A05AB">
        <w:rPr>
          <w:rFonts w:cs="Arial"/>
        </w:rPr>
        <w:t xml:space="preserve"> on the basis that the overall age profile of the active membership will remain stable. As a result, for those employers which are closed to new entrants, an alternative method is adopted, which makes advance allowance for the anticipated future ag</w:t>
      </w:r>
      <w:r>
        <w:rPr>
          <w:rFonts w:cs="Arial"/>
        </w:rPr>
        <w:t>e</w:t>
      </w:r>
      <w:r w:rsidRPr="009A05AB">
        <w:rPr>
          <w:rFonts w:cs="Arial"/>
        </w:rPr>
        <w:t>ing and decline of the current closed membership group</w:t>
      </w:r>
      <w:r w:rsidR="00F24C33">
        <w:rPr>
          <w:rFonts w:cs="Arial"/>
        </w:rPr>
        <w:t xml:space="preserve"> </w:t>
      </w:r>
      <w:r w:rsidR="00F82096" w:rsidRPr="00F82096">
        <w:rPr>
          <w:rFonts w:cs="Arial"/>
        </w:rPr>
        <w:t>potentially over the period of the rates and adjustments certificate</w:t>
      </w:r>
      <w:r w:rsidRPr="009A05AB">
        <w:rPr>
          <w:rFonts w:cs="Arial"/>
        </w:rPr>
        <w:t xml:space="preserve">. </w:t>
      </w:r>
    </w:p>
    <w:p w14:paraId="38C01297" w14:textId="1433D3DB" w:rsidR="007E77EE" w:rsidRDefault="007E77EE" w:rsidP="007E77EE">
      <w:pPr>
        <w:pStyle w:val="Heading10"/>
      </w:pPr>
      <w:r w:rsidRPr="007E77EE">
        <w:t>Financial</w:t>
      </w:r>
      <w:r w:rsidRPr="00042015">
        <w:rPr>
          <w:rFonts w:cs="Arial"/>
          <w:b/>
          <w:bCs/>
          <w:color w:val="993366"/>
        </w:rPr>
        <w:t xml:space="preserve"> </w:t>
      </w:r>
      <w:r w:rsidRPr="007E77EE">
        <w:t>assumptions</w:t>
      </w:r>
      <w:r w:rsidR="00DF781A">
        <w:t xml:space="preserve"> – </w:t>
      </w:r>
      <w:r w:rsidR="00F24C33">
        <w:t xml:space="preserve">solvency </w:t>
      </w:r>
      <w:r w:rsidR="00DF781A">
        <w:t>Funding target</w:t>
      </w:r>
    </w:p>
    <w:p w14:paraId="019EEC6F" w14:textId="77777777" w:rsidR="00597D55" w:rsidRDefault="00597D55" w:rsidP="007E77EE">
      <w:pPr>
        <w:pStyle w:val="Questions"/>
      </w:pPr>
    </w:p>
    <w:p w14:paraId="3B960359" w14:textId="77777777" w:rsidR="007E77EE" w:rsidRPr="00042015" w:rsidRDefault="007E77EE" w:rsidP="007E77EE">
      <w:pPr>
        <w:pStyle w:val="Questions"/>
      </w:pPr>
      <w:r w:rsidRPr="00042015">
        <w:t>Investment return (discount rate)</w:t>
      </w:r>
    </w:p>
    <w:p w14:paraId="49A29D60" w14:textId="5E94F24D" w:rsidR="007E77EE" w:rsidRDefault="00FA2E70" w:rsidP="007E77EE">
      <w:pPr>
        <w:jc w:val="both"/>
        <w:rPr>
          <w:rFonts w:cs="Arial"/>
        </w:rPr>
      </w:pPr>
      <w:r>
        <w:rPr>
          <w:rFonts w:cs="Arial"/>
        </w:rPr>
        <w:t xml:space="preserve">The discount </w:t>
      </w:r>
      <w:r w:rsidR="00DF781A">
        <w:rPr>
          <w:rFonts w:cs="Arial"/>
        </w:rPr>
        <w:t xml:space="preserve">rate has been derived based on </w:t>
      </w:r>
      <w:r>
        <w:rPr>
          <w:rFonts w:cs="Arial"/>
        </w:rPr>
        <w:t xml:space="preserve">the expected return on the </w:t>
      </w:r>
      <w:r w:rsidR="00177D13">
        <w:rPr>
          <w:rFonts w:cs="Arial"/>
        </w:rPr>
        <w:t>Fund</w:t>
      </w:r>
      <w:r>
        <w:rPr>
          <w:rFonts w:cs="Arial"/>
        </w:rPr>
        <w:t xml:space="preserve"> assets</w:t>
      </w:r>
      <w:r w:rsidR="00DF781A">
        <w:rPr>
          <w:rFonts w:cs="Arial"/>
        </w:rPr>
        <w:t xml:space="preserve"> base on the long term strategy set out in the Investment Strategy Statement (ISS)</w:t>
      </w:r>
      <w:r>
        <w:rPr>
          <w:rFonts w:cs="Arial"/>
        </w:rPr>
        <w:t xml:space="preserve">.  </w:t>
      </w:r>
      <w:r w:rsidR="00DF781A">
        <w:rPr>
          <w:rFonts w:cs="Arial"/>
        </w:rPr>
        <w:t>It includes appropriate margins for prudence.  W</w:t>
      </w:r>
      <w:r>
        <w:rPr>
          <w:rFonts w:cs="Arial"/>
        </w:rPr>
        <w:t>hen assessing the appropriate discount rate consideration has been given to the returns in excess of C</w:t>
      </w:r>
      <w:r w:rsidR="00DF781A">
        <w:rPr>
          <w:rFonts w:cs="Arial"/>
        </w:rPr>
        <w:t xml:space="preserve">PI inflation (as derived below). The discount rate at the valuation has been derived based on an assumed return of </w:t>
      </w:r>
      <w:r w:rsidR="00434F3C">
        <w:rPr>
          <w:rFonts w:cs="Arial"/>
        </w:rPr>
        <w:t>2.2</w:t>
      </w:r>
      <w:r w:rsidR="00DF781A">
        <w:rPr>
          <w:rFonts w:cs="Arial"/>
        </w:rPr>
        <w:t>% per annum above CPI inflation</w:t>
      </w:r>
      <w:r w:rsidR="004D186C">
        <w:rPr>
          <w:rFonts w:cs="Arial"/>
        </w:rPr>
        <w:t xml:space="preserve"> i.e. a real return of </w:t>
      </w:r>
      <w:r w:rsidR="00434F3C">
        <w:rPr>
          <w:rFonts w:cs="Arial"/>
        </w:rPr>
        <w:t>2.2</w:t>
      </w:r>
      <w:r w:rsidR="004D186C">
        <w:rPr>
          <w:rFonts w:cs="Arial"/>
        </w:rPr>
        <w:t>% per annum</w:t>
      </w:r>
      <w:r w:rsidR="00434F3C">
        <w:rPr>
          <w:rFonts w:cs="Arial"/>
        </w:rPr>
        <w:t xml:space="preserve">, equating to </w:t>
      </w:r>
      <w:r w:rsidR="00117624">
        <w:rPr>
          <w:rFonts w:cs="Arial"/>
        </w:rPr>
        <w:t xml:space="preserve">a total discount rate of </w:t>
      </w:r>
      <w:r w:rsidR="00434F3C">
        <w:rPr>
          <w:rFonts w:cs="Arial"/>
        </w:rPr>
        <w:t>4.4</w:t>
      </w:r>
      <w:r w:rsidR="001A1758">
        <w:rPr>
          <w:rFonts w:cs="Arial"/>
        </w:rPr>
        <w:t>% per annum</w:t>
      </w:r>
      <w:r w:rsidR="00DF781A">
        <w:rPr>
          <w:rFonts w:cs="Arial"/>
        </w:rPr>
        <w:t xml:space="preserve">.  This </w:t>
      </w:r>
      <w:r w:rsidR="004D186C">
        <w:rPr>
          <w:rFonts w:cs="Arial"/>
        </w:rPr>
        <w:t xml:space="preserve">real return </w:t>
      </w:r>
      <w:r w:rsidR="00DF781A">
        <w:rPr>
          <w:rFonts w:cs="Arial"/>
        </w:rPr>
        <w:t xml:space="preserve">will be reviewed from time to time based on the </w:t>
      </w:r>
      <w:r w:rsidR="00E30DCC">
        <w:rPr>
          <w:rFonts w:cs="Arial"/>
        </w:rPr>
        <w:t xml:space="preserve">investment strategy, </w:t>
      </w:r>
      <w:r w:rsidR="00DF781A">
        <w:rPr>
          <w:rFonts w:cs="Arial"/>
        </w:rPr>
        <w:t>market outlook</w:t>
      </w:r>
      <w:r w:rsidR="00E30DCC">
        <w:rPr>
          <w:rFonts w:cs="Arial"/>
        </w:rPr>
        <w:t xml:space="preserve"> and the </w:t>
      </w:r>
      <w:r w:rsidR="00177D13">
        <w:rPr>
          <w:rFonts w:cs="Arial"/>
        </w:rPr>
        <w:t>Fund</w:t>
      </w:r>
      <w:r w:rsidR="00E30DCC">
        <w:rPr>
          <w:rFonts w:cs="Arial"/>
        </w:rPr>
        <w:t>’s overall risk metrics</w:t>
      </w:r>
      <w:r w:rsidR="00DF781A">
        <w:rPr>
          <w:rFonts w:cs="Arial"/>
        </w:rPr>
        <w:t>.</w:t>
      </w:r>
    </w:p>
    <w:p w14:paraId="7EC495B8" w14:textId="7C247C24" w:rsidR="001A1758" w:rsidRDefault="001A1758" w:rsidP="007E77EE">
      <w:pPr>
        <w:jc w:val="both"/>
        <w:rPr>
          <w:rFonts w:cs="Arial"/>
        </w:rPr>
      </w:pPr>
      <w:r>
        <w:rPr>
          <w:rFonts w:cs="Arial"/>
        </w:rPr>
        <w:t xml:space="preserve">For </w:t>
      </w:r>
      <w:r w:rsidR="00AA56C5">
        <w:rPr>
          <w:rFonts w:cs="Arial"/>
        </w:rPr>
        <w:t>any</w:t>
      </w:r>
      <w:r>
        <w:rPr>
          <w:rFonts w:cs="Arial"/>
        </w:rPr>
        <w:t xml:space="preserve"> employers who are funding on a </w:t>
      </w:r>
      <w:r w:rsidR="003C7B7A" w:rsidRPr="00D04D1C">
        <w:rPr>
          <w:rFonts w:cs="Arial"/>
        </w:rPr>
        <w:t>government</w:t>
      </w:r>
      <w:r w:rsidRPr="00D04D1C">
        <w:rPr>
          <w:rFonts w:cs="Arial"/>
        </w:rPr>
        <w:t xml:space="preserve"> bond based the discount rate used will be linked directly to the yields available of </w:t>
      </w:r>
      <w:r w:rsidR="003C7B7A" w:rsidRPr="00D04D1C">
        <w:rPr>
          <w:rFonts w:cs="Arial"/>
        </w:rPr>
        <w:t>government</w:t>
      </w:r>
      <w:r w:rsidR="003C7B7A">
        <w:rPr>
          <w:rFonts w:cs="Arial"/>
        </w:rPr>
        <w:t xml:space="preserve"> </w:t>
      </w:r>
      <w:r>
        <w:rPr>
          <w:rFonts w:cs="Arial"/>
        </w:rPr>
        <w:t xml:space="preserve">bond assets of an appropriate duration.   </w:t>
      </w:r>
    </w:p>
    <w:p w14:paraId="7E7C5179" w14:textId="77777777" w:rsidR="007E77EE" w:rsidRPr="007E77EE" w:rsidRDefault="007E77EE" w:rsidP="007E77EE">
      <w:pPr>
        <w:pStyle w:val="Questions"/>
      </w:pPr>
      <w:r w:rsidRPr="007E77EE">
        <w:t>Inflation (Consumer Prices Index)</w:t>
      </w:r>
    </w:p>
    <w:p w14:paraId="1C975578" w14:textId="505A04F2" w:rsidR="007E77EE" w:rsidRPr="007E77EE" w:rsidRDefault="007E77EE" w:rsidP="007E77EE">
      <w:pPr>
        <w:jc w:val="both"/>
        <w:rPr>
          <w:rFonts w:cs="Arial"/>
        </w:rPr>
      </w:pPr>
      <w:r w:rsidRPr="009A05AB">
        <w:rPr>
          <w:rFonts w:cs="Arial"/>
        </w:rPr>
        <w:t xml:space="preserve">The inflation assumption will be taken to be the investment market’s expectation for </w:t>
      </w:r>
      <w:r>
        <w:rPr>
          <w:rFonts w:cs="Arial"/>
        </w:rPr>
        <w:t xml:space="preserve">RPI </w:t>
      </w:r>
      <w:r w:rsidRPr="009A05AB">
        <w:rPr>
          <w:rFonts w:cs="Arial"/>
        </w:rPr>
        <w:t xml:space="preserve">inflation as indicated by the difference between yields derived from market instruments, principally conventional and index-linked UK Government gilts as at the valuation date, reflecting the profile and duration of the </w:t>
      </w:r>
      <w:r w:rsidR="00177D13">
        <w:rPr>
          <w:rFonts w:cs="Arial"/>
        </w:rPr>
        <w:t>Fund</w:t>
      </w:r>
      <w:r w:rsidRPr="009A05AB">
        <w:rPr>
          <w:rFonts w:cs="Arial"/>
        </w:rPr>
        <w:t>’s accrued liabilities</w:t>
      </w:r>
      <w:r>
        <w:rPr>
          <w:rFonts w:cs="Arial"/>
        </w:rPr>
        <w:t>, but subject to the following two adjustments:</w:t>
      </w:r>
    </w:p>
    <w:p w14:paraId="74B69FE1" w14:textId="77777777" w:rsidR="007E77EE" w:rsidRDefault="007E77EE" w:rsidP="00DA031F">
      <w:pPr>
        <w:numPr>
          <w:ilvl w:val="0"/>
          <w:numId w:val="15"/>
        </w:numPr>
        <w:tabs>
          <w:tab w:val="clear" w:pos="1080"/>
          <w:tab w:val="num" w:pos="540"/>
        </w:tabs>
        <w:spacing w:after="120" w:line="240" w:lineRule="auto"/>
        <w:ind w:left="540"/>
        <w:jc w:val="both"/>
        <w:rPr>
          <w:rFonts w:cs="Arial"/>
        </w:rPr>
      </w:pPr>
      <w:r>
        <w:rPr>
          <w:rFonts w:cs="Arial"/>
        </w:rPr>
        <w:t xml:space="preserve">an allowance for </w:t>
      </w:r>
      <w:r w:rsidRPr="00D64CA4">
        <w:rPr>
          <w:rFonts w:cs="Arial"/>
        </w:rPr>
        <w:t xml:space="preserve">supply/demand distortions in </w:t>
      </w:r>
      <w:r>
        <w:rPr>
          <w:rFonts w:cs="Arial"/>
        </w:rPr>
        <w:t>the bond market is incorporated, and</w:t>
      </w:r>
    </w:p>
    <w:p w14:paraId="1D206FEE" w14:textId="77777777" w:rsidR="007E77EE" w:rsidRDefault="007E77EE" w:rsidP="00DA031F">
      <w:pPr>
        <w:numPr>
          <w:ilvl w:val="0"/>
          <w:numId w:val="15"/>
        </w:numPr>
        <w:tabs>
          <w:tab w:val="clear" w:pos="1080"/>
          <w:tab w:val="num" w:pos="540"/>
        </w:tabs>
        <w:spacing w:after="120" w:line="240" w:lineRule="auto"/>
        <w:ind w:left="540"/>
        <w:jc w:val="both"/>
        <w:rPr>
          <w:rFonts w:cs="Arial"/>
        </w:rPr>
      </w:pPr>
      <w:r>
        <w:rPr>
          <w:rFonts w:cs="Arial"/>
        </w:rPr>
        <w:t xml:space="preserve">an adjustment </w:t>
      </w:r>
      <w:r w:rsidRPr="00A464A3">
        <w:rPr>
          <w:rFonts w:cs="Arial"/>
        </w:rPr>
        <w:t>due to retirement pensions being increased annually by the change in the Consumer Price Index rather than the Retail Price Index</w:t>
      </w:r>
    </w:p>
    <w:p w14:paraId="0072B43D" w14:textId="55B35490" w:rsidR="007E77EE" w:rsidRDefault="007E77EE" w:rsidP="007E77EE">
      <w:pPr>
        <w:rPr>
          <w:rFonts w:cs="Arial"/>
        </w:rPr>
      </w:pPr>
      <w:r w:rsidRPr="00A464A3">
        <w:rPr>
          <w:rFonts w:cs="Arial"/>
        </w:rPr>
        <w:t xml:space="preserve">The overall reduction to RPI inflation at the valuation date is </w:t>
      </w:r>
      <w:r w:rsidR="00D04D1C">
        <w:rPr>
          <w:rFonts w:cs="Arial"/>
        </w:rPr>
        <w:t>1.0</w:t>
      </w:r>
      <w:r w:rsidRPr="00A464A3">
        <w:rPr>
          <w:rFonts w:cs="Arial"/>
        </w:rPr>
        <w:t>% per annum.</w:t>
      </w:r>
    </w:p>
    <w:p w14:paraId="03ACDC81" w14:textId="77777777" w:rsidR="007E77EE" w:rsidRPr="00042015" w:rsidRDefault="007E77EE" w:rsidP="007E77EE">
      <w:pPr>
        <w:pStyle w:val="Questions"/>
        <w:rPr>
          <w:rFonts w:cs="Arial"/>
          <w:i/>
          <w:color w:val="993366"/>
        </w:rPr>
      </w:pPr>
      <w:r w:rsidRPr="007E77EE">
        <w:t>Salary</w:t>
      </w:r>
      <w:r w:rsidRPr="00042015">
        <w:rPr>
          <w:rFonts w:cs="Arial"/>
          <w:i/>
          <w:color w:val="993366"/>
        </w:rPr>
        <w:t xml:space="preserve"> </w:t>
      </w:r>
      <w:r w:rsidRPr="007E77EE">
        <w:t>increases</w:t>
      </w:r>
    </w:p>
    <w:p w14:paraId="199404AD" w14:textId="1907AE8D" w:rsidR="007E77EE" w:rsidRDefault="0010456F" w:rsidP="007E77EE">
      <w:pPr>
        <w:jc w:val="both"/>
        <w:rPr>
          <w:rFonts w:cs="Arial"/>
        </w:rPr>
      </w:pPr>
      <w:r>
        <w:rPr>
          <w:rFonts w:cs="Arial"/>
        </w:rPr>
        <w:t>In relation to benefits earned prior to 1 April 2014, t</w:t>
      </w:r>
      <w:r w:rsidR="007E77EE" w:rsidRPr="008A59EF">
        <w:rPr>
          <w:rFonts w:cs="Arial"/>
        </w:rPr>
        <w:t xml:space="preserve">he assumption for real salary increases (salary increases in excess of price inflation) will be determined by an allowance of </w:t>
      </w:r>
      <w:r w:rsidR="00D04D1C">
        <w:rPr>
          <w:rFonts w:cs="Arial"/>
        </w:rPr>
        <w:t>1</w:t>
      </w:r>
      <w:r w:rsidR="00AA56C5">
        <w:rPr>
          <w:rFonts w:cs="Arial"/>
        </w:rPr>
        <w:t>.5</w:t>
      </w:r>
      <w:r w:rsidR="007E77EE" w:rsidRPr="008A59EF">
        <w:rPr>
          <w:rFonts w:cs="Arial"/>
        </w:rPr>
        <w:t xml:space="preserve">% p.a. over the inflation assumption as described above.  This includes allowance for promotional increases. </w:t>
      </w:r>
      <w:r w:rsidR="00FA4981" w:rsidRPr="00F24C33">
        <w:rPr>
          <w:rFonts w:cs="Arial"/>
        </w:rPr>
        <w:t xml:space="preserve"> </w:t>
      </w:r>
      <w:r w:rsidR="00D04D1C" w:rsidRPr="00567857">
        <w:rPr>
          <w:rFonts w:cs="Arial"/>
        </w:rPr>
        <w:t xml:space="preserve">In </w:t>
      </w:r>
      <w:r w:rsidR="00D04D1C">
        <w:rPr>
          <w:rFonts w:cs="Arial"/>
        </w:rPr>
        <w:t xml:space="preserve">the shorter term, </w:t>
      </w:r>
      <w:r w:rsidR="00D04D1C" w:rsidRPr="00567857">
        <w:rPr>
          <w:rFonts w:cs="Arial"/>
        </w:rPr>
        <w:t>the long term salary increase assumption</w:t>
      </w:r>
      <w:r w:rsidR="00D04D1C">
        <w:rPr>
          <w:rFonts w:cs="Arial"/>
        </w:rPr>
        <w:t xml:space="preserve"> has been replaced by an assumption of 1.0% per annum for the period to 2019/20, reflecting </w:t>
      </w:r>
      <w:r w:rsidR="00D04D1C" w:rsidRPr="00567857">
        <w:rPr>
          <w:rFonts w:cs="Arial"/>
        </w:rPr>
        <w:t>expected short term pay restraint</w:t>
      </w:r>
      <w:r w:rsidR="00D04D1C">
        <w:rPr>
          <w:rFonts w:cs="Arial"/>
        </w:rPr>
        <w:t xml:space="preserve"> in the public sector over this period.</w:t>
      </w:r>
    </w:p>
    <w:p w14:paraId="0CC5312B" w14:textId="77777777" w:rsidR="007E77EE" w:rsidRPr="007E77EE" w:rsidRDefault="007E77EE" w:rsidP="007E77EE">
      <w:pPr>
        <w:pStyle w:val="Questions"/>
      </w:pPr>
      <w:r w:rsidRPr="007E77EE">
        <w:t>Pension increases/Indexation of CARE benefits</w:t>
      </w:r>
    </w:p>
    <w:p w14:paraId="03FC0728" w14:textId="0D0E7B3A" w:rsidR="007E77EE" w:rsidRDefault="007E77EE" w:rsidP="007E77EE">
      <w:pPr>
        <w:jc w:val="both"/>
        <w:rPr>
          <w:rFonts w:cs="Arial"/>
        </w:rPr>
      </w:pPr>
      <w:r w:rsidRPr="008A59EF">
        <w:rPr>
          <w:rFonts w:cs="Arial"/>
        </w:rPr>
        <w:t xml:space="preserve">Increases to pensions are assumed to be in line with the inflation (CPI) assumption described above. This is modified appropriately to reflect any benefits which are not </w:t>
      </w:r>
      <w:r w:rsidR="00117624">
        <w:rPr>
          <w:rFonts w:cs="Arial"/>
        </w:rPr>
        <w:t>fully indexed in line with the C</w:t>
      </w:r>
      <w:r w:rsidRPr="008A59EF">
        <w:rPr>
          <w:rFonts w:cs="Arial"/>
        </w:rPr>
        <w:t>PI (e.g. Guaranteed Minimum Pensions</w:t>
      </w:r>
      <w:r w:rsidR="0010456F">
        <w:rPr>
          <w:rFonts w:cs="Arial"/>
        </w:rPr>
        <w:t xml:space="preserve"> where the LGPS is not required to provide full indexation</w:t>
      </w:r>
      <w:r w:rsidRPr="008A59EF">
        <w:rPr>
          <w:rFonts w:cs="Arial"/>
        </w:rPr>
        <w:t>).</w:t>
      </w:r>
    </w:p>
    <w:p w14:paraId="215352C8" w14:textId="77777777" w:rsidR="007E77EE" w:rsidRDefault="007E77EE" w:rsidP="007E77EE">
      <w:pPr>
        <w:pStyle w:val="Heading10"/>
      </w:pPr>
      <w:r w:rsidRPr="007E77EE">
        <w:t>Demographic assumptions</w:t>
      </w:r>
    </w:p>
    <w:p w14:paraId="0D099B88" w14:textId="77777777" w:rsidR="00597D55" w:rsidRDefault="00597D55" w:rsidP="007E77EE">
      <w:pPr>
        <w:pStyle w:val="Questions"/>
      </w:pPr>
    </w:p>
    <w:p w14:paraId="149B8712" w14:textId="7BFA44C6" w:rsidR="007E77EE" w:rsidRPr="00042015" w:rsidRDefault="007E77EE" w:rsidP="007E77EE">
      <w:pPr>
        <w:pStyle w:val="Questions"/>
        <w:rPr>
          <w:rFonts w:cs="Arial"/>
          <w:i/>
          <w:color w:val="993366"/>
        </w:rPr>
      </w:pPr>
      <w:r w:rsidRPr="007E77EE">
        <w:t>Mortality</w:t>
      </w:r>
      <w:r w:rsidR="00A75F51">
        <w:t>/Life Expectancy</w:t>
      </w:r>
    </w:p>
    <w:p w14:paraId="2D996ACC" w14:textId="6A7F416F" w:rsidR="007E77EE" w:rsidRDefault="007E77EE" w:rsidP="007E77EE">
      <w:pPr>
        <w:jc w:val="both"/>
        <w:rPr>
          <w:rFonts w:cs="Arial"/>
        </w:rPr>
      </w:pPr>
      <w:r w:rsidRPr="009A05AB">
        <w:rPr>
          <w:rFonts w:cs="Arial"/>
        </w:rPr>
        <w:t xml:space="preserve">The mortality </w:t>
      </w:r>
      <w:r>
        <w:rPr>
          <w:rFonts w:cs="Arial"/>
        </w:rPr>
        <w:t xml:space="preserve">in retirement </w:t>
      </w:r>
      <w:r w:rsidRPr="009A05AB">
        <w:rPr>
          <w:rFonts w:cs="Arial"/>
        </w:rPr>
        <w:t xml:space="preserve">assumptions will be based on the most up-to-date information </w:t>
      </w:r>
      <w:r>
        <w:rPr>
          <w:rFonts w:cs="Arial"/>
        </w:rPr>
        <w:t xml:space="preserve">in relation to self-administered pension schemes </w:t>
      </w:r>
      <w:r w:rsidRPr="009A05AB">
        <w:rPr>
          <w:rFonts w:cs="Arial"/>
        </w:rPr>
        <w:t>published by the Continuous Mortality Investigation</w:t>
      </w:r>
      <w:r>
        <w:rPr>
          <w:rFonts w:cs="Arial"/>
        </w:rPr>
        <w:t xml:space="preserve"> (CMI)</w:t>
      </w:r>
      <w:r w:rsidRPr="009A05AB">
        <w:rPr>
          <w:rFonts w:cs="Arial"/>
        </w:rPr>
        <w:t xml:space="preserve">, making allowance for future improvements in longevity and the experience of the </w:t>
      </w:r>
      <w:r w:rsidR="00177D13">
        <w:rPr>
          <w:rFonts w:cs="Arial"/>
        </w:rPr>
        <w:t>Fund</w:t>
      </w:r>
      <w:r w:rsidRPr="009A05AB">
        <w:rPr>
          <w:rFonts w:cs="Arial"/>
        </w:rPr>
        <w:t xml:space="preserve">.  </w:t>
      </w:r>
      <w:r w:rsidRPr="00585C64">
        <w:rPr>
          <w:rFonts w:cs="Arial"/>
        </w:rPr>
        <w:t xml:space="preserve">The mortality tables used are set out below, with a loading reflecting </w:t>
      </w:r>
      <w:r w:rsidR="00FA4981">
        <w:rPr>
          <w:rFonts w:cs="Arial"/>
        </w:rPr>
        <w:t>Fund</w:t>
      </w:r>
      <w:r w:rsidRPr="00585C64">
        <w:rPr>
          <w:rFonts w:cs="Arial"/>
        </w:rPr>
        <w:t xml:space="preserve"> specific experience. The derivation of the mortality assumption is set out in a separate paper as supplied by the Actuary. </w:t>
      </w:r>
      <w:r>
        <w:rPr>
          <w:rFonts w:cs="Arial"/>
        </w:rPr>
        <w:t>Current m</w:t>
      </w:r>
      <w:r w:rsidRPr="00585C64">
        <w:rPr>
          <w:rFonts w:cs="Arial"/>
        </w:rPr>
        <w:t>embers who retire on the grounds of ill hea</w:t>
      </w:r>
      <w:r>
        <w:rPr>
          <w:rFonts w:cs="Arial"/>
        </w:rPr>
        <w:t>l</w:t>
      </w:r>
      <w:r w:rsidRPr="00585C64">
        <w:rPr>
          <w:rFonts w:cs="Arial"/>
        </w:rPr>
        <w:t xml:space="preserve">th are assumed to exhibit average mortality equivalent to that for a good health retiree at an age </w:t>
      </w:r>
      <w:r w:rsidR="00D04D1C">
        <w:rPr>
          <w:rFonts w:cs="Arial"/>
        </w:rPr>
        <w:t xml:space="preserve">4 </w:t>
      </w:r>
      <w:r w:rsidRPr="00585C64">
        <w:rPr>
          <w:rFonts w:cs="Arial"/>
        </w:rPr>
        <w:t>years older</w:t>
      </w:r>
      <w:r>
        <w:rPr>
          <w:rFonts w:cs="Arial"/>
        </w:rPr>
        <w:t xml:space="preserve"> whereas for existing ill health retirees we assume this is at an age </w:t>
      </w:r>
      <w:r w:rsidR="00D04D1C">
        <w:rPr>
          <w:rFonts w:cs="Arial"/>
        </w:rPr>
        <w:t xml:space="preserve">3 </w:t>
      </w:r>
      <w:r>
        <w:rPr>
          <w:rFonts w:cs="Arial"/>
        </w:rPr>
        <w:t>years older</w:t>
      </w:r>
      <w:r w:rsidRPr="00585C64">
        <w:rPr>
          <w:rFonts w:cs="Arial"/>
        </w:rPr>
        <w:t xml:space="preserve">.  For all members, it is assumed that the accelerated trend in longevity seen in recent years will continue in the longer term and as such, the assumptions build in a level of longevity ‘improvement’ year on year in the future in line with </w:t>
      </w:r>
      <w:r w:rsidR="006F78CE">
        <w:rPr>
          <w:rFonts w:cs="Arial"/>
        </w:rPr>
        <w:t>the CMI projections with a long-term</w:t>
      </w:r>
      <w:r w:rsidRPr="00585C64">
        <w:rPr>
          <w:rFonts w:cs="Arial"/>
        </w:rPr>
        <w:t xml:space="preserve"> rate of improvement of </w:t>
      </w:r>
      <w:r w:rsidR="00D04D1C">
        <w:rPr>
          <w:rFonts w:cs="Arial"/>
        </w:rPr>
        <w:t>1.5</w:t>
      </w:r>
      <w:r w:rsidRPr="00585C64">
        <w:rPr>
          <w:rFonts w:cs="Arial"/>
        </w:rPr>
        <w:t>% per annum.</w:t>
      </w:r>
    </w:p>
    <w:p w14:paraId="10E5E818" w14:textId="77777777" w:rsidR="007E77EE" w:rsidRDefault="007E77EE" w:rsidP="007E77EE">
      <w:pPr>
        <w:jc w:val="both"/>
        <w:rPr>
          <w:rFonts w:cs="Arial"/>
        </w:rPr>
      </w:pPr>
      <w:r>
        <w:rPr>
          <w:rFonts w:cs="Arial"/>
        </w:rPr>
        <w:t>The mortality before retirement has also been adjusted based on LGPS wide experience.</w:t>
      </w:r>
    </w:p>
    <w:p w14:paraId="736C5B56" w14:textId="77777777" w:rsidR="007E77EE" w:rsidRPr="00E56700" w:rsidRDefault="007E77EE" w:rsidP="007E77EE">
      <w:pPr>
        <w:pStyle w:val="Questions"/>
        <w:rPr>
          <w:rFonts w:cs="Arial"/>
          <w:i/>
          <w:color w:val="993366"/>
        </w:rPr>
      </w:pPr>
      <w:r w:rsidRPr="007E77EE">
        <w:t>Commutation</w:t>
      </w:r>
    </w:p>
    <w:p w14:paraId="1EF8D47A" w14:textId="77777777" w:rsidR="007E77EE" w:rsidRDefault="007E77EE" w:rsidP="007E77EE">
      <w:pPr>
        <w:jc w:val="both"/>
        <w:rPr>
          <w:rFonts w:cs="Arial"/>
        </w:rPr>
      </w:pPr>
      <w:r w:rsidRPr="009A05AB">
        <w:rPr>
          <w:rFonts w:cs="Arial"/>
        </w:rPr>
        <w:t>It has been assumed that, on average, 50% of retiring members will take the maximum tax-free cash available at retirement and 50% will take the standard 3/80ths cash sum. The option which members have to commute part of their pension at retirement in return for a lump sum is a rate of £12 cash for each £1</w:t>
      </w:r>
      <w:r>
        <w:rPr>
          <w:rFonts w:cs="Arial"/>
        </w:rPr>
        <w:t xml:space="preserve"> </w:t>
      </w:r>
      <w:r w:rsidRPr="009A05AB">
        <w:rPr>
          <w:rFonts w:cs="Arial"/>
        </w:rPr>
        <w:t xml:space="preserve">p.a. of pension given up. </w:t>
      </w:r>
    </w:p>
    <w:p w14:paraId="41547DFD" w14:textId="77777777" w:rsidR="007E77EE" w:rsidRPr="007E77EE" w:rsidRDefault="007E77EE" w:rsidP="007E77EE">
      <w:pPr>
        <w:pStyle w:val="Questions"/>
      </w:pPr>
      <w:r w:rsidRPr="007E77EE">
        <w:t>Other Demographics</w:t>
      </w:r>
    </w:p>
    <w:p w14:paraId="6172209C" w14:textId="65B36AF2" w:rsidR="007E77EE" w:rsidRDefault="007E77EE" w:rsidP="007E77EE">
      <w:pPr>
        <w:jc w:val="both"/>
        <w:rPr>
          <w:rFonts w:cs="Arial"/>
        </w:rPr>
      </w:pPr>
      <w:r w:rsidRPr="00001D28">
        <w:rPr>
          <w:rFonts w:cs="Arial"/>
        </w:rPr>
        <w:t xml:space="preserve">Following an analysis of Fund experience carried out by the Actuary, the incidence </w:t>
      </w:r>
      <w:r w:rsidR="00001D28" w:rsidRPr="00D04D1C">
        <w:rPr>
          <w:rFonts w:cs="Arial"/>
        </w:rPr>
        <w:t xml:space="preserve">of </w:t>
      </w:r>
      <w:r w:rsidRPr="00D04D1C">
        <w:rPr>
          <w:rFonts w:cs="Arial"/>
        </w:rPr>
        <w:t>ill health</w:t>
      </w:r>
      <w:r w:rsidR="00001D28" w:rsidRPr="00D04D1C">
        <w:rPr>
          <w:rFonts w:cs="Arial"/>
        </w:rPr>
        <w:t xml:space="preserve"> retirements, withdrawal rates</w:t>
      </w:r>
      <w:r w:rsidRPr="00D04D1C">
        <w:rPr>
          <w:rFonts w:cs="Arial"/>
        </w:rPr>
        <w:t xml:space="preserve"> and the proportions married/civil partnership assumption</w:t>
      </w:r>
      <w:r w:rsidRPr="00001D28">
        <w:rPr>
          <w:rFonts w:cs="Arial"/>
        </w:rPr>
        <w:t xml:space="preserve"> h</w:t>
      </w:r>
      <w:r w:rsidR="00001D28">
        <w:rPr>
          <w:rFonts w:cs="Arial"/>
        </w:rPr>
        <w:t>ave been modified from the last</w:t>
      </w:r>
      <w:r w:rsidRPr="00001D28">
        <w:rPr>
          <w:rFonts w:cs="Arial"/>
        </w:rPr>
        <w:t xml:space="preserve"> valuation.  In addition, </w:t>
      </w:r>
      <w:r w:rsidR="00001D28" w:rsidRPr="00463EB0">
        <w:rPr>
          <w:rFonts w:cs="Arial"/>
          <w:u w:val="single"/>
        </w:rPr>
        <w:t>no allowance</w:t>
      </w:r>
      <w:r w:rsidR="00001D28">
        <w:rPr>
          <w:rFonts w:cs="Arial"/>
        </w:rPr>
        <w:t xml:space="preserve"> will be made for the future</w:t>
      </w:r>
      <w:r w:rsidRPr="00001D28">
        <w:rPr>
          <w:rFonts w:cs="Arial"/>
        </w:rPr>
        <w:t xml:space="preserve"> take-up of the 50:50 option</w:t>
      </w:r>
      <w:r w:rsidR="00001D28">
        <w:rPr>
          <w:rFonts w:cs="Arial"/>
        </w:rPr>
        <w:t xml:space="preserve"> (an allowance of</w:t>
      </w:r>
      <w:r w:rsidR="004C1D93">
        <w:rPr>
          <w:rFonts w:cs="Arial"/>
        </w:rPr>
        <w:t xml:space="preserve"> 10</w:t>
      </w:r>
      <w:r w:rsidRPr="00001D28">
        <w:rPr>
          <w:rFonts w:cs="Arial"/>
        </w:rPr>
        <w:t xml:space="preserve">% of current and future members </w:t>
      </w:r>
      <w:r w:rsidR="00001D28">
        <w:rPr>
          <w:rFonts w:cs="Arial"/>
        </w:rPr>
        <w:t xml:space="preserve">(by payroll) </w:t>
      </w:r>
      <w:r w:rsidRPr="00001D28">
        <w:rPr>
          <w:rFonts w:cs="Arial"/>
        </w:rPr>
        <w:t xml:space="preserve">for certain employers </w:t>
      </w:r>
      <w:r w:rsidR="00001D28">
        <w:rPr>
          <w:rFonts w:cs="Arial"/>
        </w:rPr>
        <w:t>was made at the last valuation</w:t>
      </w:r>
      <w:r w:rsidRPr="00001D28">
        <w:rPr>
          <w:rFonts w:cs="Arial"/>
        </w:rPr>
        <w:t xml:space="preserve">). </w:t>
      </w:r>
      <w:r w:rsidR="00001D28">
        <w:rPr>
          <w:rFonts w:cs="Arial"/>
        </w:rPr>
        <w:t xml:space="preserve"> Where any member has </w:t>
      </w:r>
      <w:r w:rsidR="005A71D4">
        <w:rPr>
          <w:rFonts w:cs="Arial"/>
        </w:rPr>
        <w:t xml:space="preserve">actually </w:t>
      </w:r>
      <w:r w:rsidR="00001D28">
        <w:rPr>
          <w:rFonts w:cs="Arial"/>
        </w:rPr>
        <w:t>opted for the 50:50 scheme</w:t>
      </w:r>
      <w:r w:rsidR="00F6655D">
        <w:rPr>
          <w:rFonts w:cs="Arial"/>
        </w:rPr>
        <w:t>,</w:t>
      </w:r>
      <w:r w:rsidR="00001D28">
        <w:rPr>
          <w:rFonts w:cs="Arial"/>
        </w:rPr>
        <w:t xml:space="preserve"> this will be allowed for in the assessment</w:t>
      </w:r>
      <w:r w:rsidRPr="00001D28">
        <w:rPr>
          <w:rFonts w:cs="Arial"/>
        </w:rPr>
        <w:t xml:space="preserve"> </w:t>
      </w:r>
      <w:r w:rsidR="00001D28">
        <w:rPr>
          <w:rFonts w:cs="Arial"/>
        </w:rPr>
        <w:t xml:space="preserve">of the rate for the next 3 years. </w:t>
      </w:r>
      <w:r w:rsidRPr="00001D28">
        <w:rPr>
          <w:rFonts w:cs="Arial"/>
        </w:rPr>
        <w:t>Other assumptions are as per the last valuation.</w:t>
      </w:r>
    </w:p>
    <w:p w14:paraId="7E346D55" w14:textId="77777777" w:rsidR="007E77EE" w:rsidRPr="00E56700" w:rsidRDefault="007E77EE" w:rsidP="007E77EE">
      <w:pPr>
        <w:pStyle w:val="Questions"/>
        <w:rPr>
          <w:rFonts w:cs="Arial"/>
          <w:i/>
          <w:color w:val="993366"/>
        </w:rPr>
      </w:pPr>
      <w:r w:rsidRPr="007E77EE">
        <w:t>Expenses</w:t>
      </w:r>
    </w:p>
    <w:p w14:paraId="3C535A94" w14:textId="4A142DEA" w:rsidR="007E77EE" w:rsidRDefault="007E77EE" w:rsidP="007E77EE">
      <w:pPr>
        <w:jc w:val="both"/>
        <w:rPr>
          <w:rFonts w:cs="Arial"/>
        </w:rPr>
      </w:pPr>
      <w:r w:rsidRPr="009A05AB">
        <w:rPr>
          <w:rFonts w:cs="Arial"/>
        </w:rPr>
        <w:t xml:space="preserve">Expenses are met out the </w:t>
      </w:r>
      <w:r w:rsidR="00177D13">
        <w:rPr>
          <w:rFonts w:cs="Arial"/>
        </w:rPr>
        <w:t>Fund</w:t>
      </w:r>
      <w:r w:rsidRPr="009A05AB">
        <w:rPr>
          <w:rFonts w:cs="Arial"/>
        </w:rPr>
        <w:t xml:space="preserve">, in accordance with the Regulations. This is allowed for by adding </w:t>
      </w:r>
      <w:r w:rsidR="00D04D1C">
        <w:rPr>
          <w:rFonts w:cs="Arial"/>
        </w:rPr>
        <w:t>0.5</w:t>
      </w:r>
      <w:r w:rsidRPr="009A05AB">
        <w:rPr>
          <w:rFonts w:cs="Arial"/>
        </w:rPr>
        <w:t>% of pensionable pay to the contributions as required from participating employers. This addition is reassessed at each valuation. Investment expenses have been allowed for implicitly in determining the discount rates.</w:t>
      </w:r>
    </w:p>
    <w:p w14:paraId="34FF55AC" w14:textId="77777777" w:rsidR="007E77EE" w:rsidRPr="007E77EE" w:rsidRDefault="007E77EE" w:rsidP="007E77EE">
      <w:pPr>
        <w:pStyle w:val="Questions"/>
      </w:pPr>
      <w:r w:rsidRPr="007E77EE">
        <w:t>Discretionary Benefits</w:t>
      </w:r>
    </w:p>
    <w:p w14:paraId="42868811" w14:textId="32510C65" w:rsidR="007E77EE" w:rsidRPr="007E77EE" w:rsidRDefault="007E77EE" w:rsidP="007E77EE">
      <w:pPr>
        <w:jc w:val="both"/>
        <w:rPr>
          <w:rFonts w:cs="Arial"/>
        </w:rPr>
      </w:pPr>
      <w:r w:rsidRPr="007E77EE">
        <w:rPr>
          <w:rFonts w:cs="Arial"/>
        </w:rPr>
        <w:t xml:space="preserve">The costs of any discretion exercised by an employer in order to enhance benefits for a member through the </w:t>
      </w:r>
      <w:r w:rsidR="00177D13">
        <w:rPr>
          <w:rFonts w:cs="Arial"/>
        </w:rPr>
        <w:t>Fund</w:t>
      </w:r>
      <w:r w:rsidRPr="007E77EE">
        <w:rPr>
          <w:rFonts w:cs="Arial"/>
        </w:rPr>
        <w:t xml:space="preserve"> will be subject to additional contributions from the employer as required by the Regulations as and when the event occurs.  As a result, no allowance for such discretionary benefits has been made in the valuation </w:t>
      </w:r>
    </w:p>
    <w:p w14:paraId="3E1ED32F" w14:textId="15A51BEE" w:rsidR="007E77EE" w:rsidRPr="006F31FE" w:rsidRDefault="007E77EE" w:rsidP="007E77EE">
      <w:pPr>
        <w:pStyle w:val="Heading10"/>
        <w:rPr>
          <w:color w:val="C00000"/>
        </w:rPr>
      </w:pPr>
      <w:r w:rsidRPr="007E77EE">
        <w:t>Method and assumptions used in calculating the cost of future accrual</w:t>
      </w:r>
      <w:r w:rsidR="00A75F51">
        <w:t xml:space="preserve"> </w:t>
      </w:r>
      <w:r w:rsidR="0010456F">
        <w:t>(</w:t>
      </w:r>
      <w:r w:rsidR="00A75F51">
        <w:t>or primary rate</w:t>
      </w:r>
      <w:r w:rsidR="0010456F">
        <w:t>)</w:t>
      </w:r>
    </w:p>
    <w:p w14:paraId="3EF8D4FD" w14:textId="77777777" w:rsidR="00A75F51" w:rsidRPr="00D567FB" w:rsidRDefault="00A75F51" w:rsidP="00D567FB">
      <w:pPr>
        <w:jc w:val="both"/>
        <w:rPr>
          <w:rFonts w:cs="Arial"/>
        </w:rPr>
      </w:pPr>
      <w:r w:rsidRPr="00D567FB">
        <w:rPr>
          <w:rFonts w:cs="Arial"/>
        </w:rPr>
        <w:t>The future service liabilities are calculated using the same assumptions as the funding target except that a different financial assumption for the discount rate is used.  A critical aspect here is that the Regulations state the desirability of keeping the “Primary Rate” (which is the future service rate) as stable as possible so this needs to be taken into account when setting the assumptions.</w:t>
      </w:r>
    </w:p>
    <w:p w14:paraId="69BA1585" w14:textId="08EA6E2D" w:rsidR="007E77EE" w:rsidRPr="00D567FB" w:rsidRDefault="00A75F51" w:rsidP="00D567FB">
      <w:pPr>
        <w:jc w:val="both"/>
        <w:rPr>
          <w:rFonts w:cs="Arial"/>
        </w:rPr>
      </w:pPr>
      <w:r w:rsidRPr="00D567FB">
        <w:rPr>
          <w:rFonts w:cs="Arial"/>
        </w:rPr>
        <w:t xml:space="preserve">As future service contributions are paid in respect of benefits built up in the future, the FSR should take account of the market conditions applying at future dates, not just the date of the valuation, thus it is justifiable to use a slightly higher expected return from the investment strategy.  In addition the future liabilities for which these contributions will be paid have a longer average duration than the past service liabilities as they relate to active members only.  </w:t>
      </w:r>
    </w:p>
    <w:p w14:paraId="29ABA4FE" w14:textId="4EF43DD4" w:rsidR="007E77EE" w:rsidRDefault="007E77EE" w:rsidP="00D567FB">
      <w:pPr>
        <w:jc w:val="both"/>
        <w:rPr>
          <w:rFonts w:cs="Arial"/>
        </w:rPr>
      </w:pPr>
      <w:r w:rsidRPr="00A75F51">
        <w:rPr>
          <w:rFonts w:cs="Arial"/>
        </w:rPr>
        <w:t>The financial assumptions in relation to future service (i.e. the normal cost) are not specifically linked to investment conditions as at the valuation date itself, and are based on an overall assumed real</w:t>
      </w:r>
      <w:r w:rsidR="0032007E" w:rsidRPr="00A75F51">
        <w:rPr>
          <w:rFonts w:cs="Arial"/>
        </w:rPr>
        <w:t xml:space="preserve"> </w:t>
      </w:r>
      <w:r w:rsidR="00A75F51">
        <w:rPr>
          <w:rFonts w:cs="Arial"/>
        </w:rPr>
        <w:t>discount rate</w:t>
      </w:r>
      <w:r w:rsidR="0032007E" w:rsidRPr="00A75F51">
        <w:rPr>
          <w:rFonts w:cs="Arial"/>
        </w:rPr>
        <w:t xml:space="preserve"> </w:t>
      </w:r>
      <w:r w:rsidRPr="00A75F51">
        <w:rPr>
          <w:rFonts w:cs="Arial"/>
        </w:rPr>
        <w:t xml:space="preserve">of </w:t>
      </w:r>
      <w:r w:rsidR="00D04D1C">
        <w:rPr>
          <w:rFonts w:cs="Arial"/>
        </w:rPr>
        <w:t>2.75</w:t>
      </w:r>
      <w:r w:rsidR="00A75F51">
        <w:rPr>
          <w:rFonts w:cs="Arial"/>
        </w:rPr>
        <w:t>% per annum above the</w:t>
      </w:r>
      <w:r w:rsidRPr="00A75F51">
        <w:rPr>
          <w:rFonts w:cs="Arial"/>
        </w:rPr>
        <w:t xml:space="preserve"> long term average assumption for consumer price inflation of </w:t>
      </w:r>
      <w:r w:rsidR="00D04D1C">
        <w:rPr>
          <w:rFonts w:cs="Arial"/>
        </w:rPr>
        <w:t>2.2</w:t>
      </w:r>
      <w:r w:rsidRPr="00A75F51">
        <w:rPr>
          <w:rFonts w:cs="Arial"/>
        </w:rPr>
        <w:t xml:space="preserve">% per annum. </w:t>
      </w:r>
    </w:p>
    <w:p w14:paraId="446BEA21" w14:textId="16162B64" w:rsidR="0078043A" w:rsidRDefault="0078043A" w:rsidP="0078043A">
      <w:pPr>
        <w:pStyle w:val="Heading10"/>
        <w:rPr>
          <w:lang w:val="en-GB"/>
        </w:rPr>
      </w:pPr>
      <w:r>
        <w:rPr>
          <w:lang w:val="en-GB"/>
        </w:rPr>
        <w:t xml:space="preserve">employer </w:t>
      </w:r>
      <w:r w:rsidRPr="00153641">
        <w:rPr>
          <w:lang w:val="en-GB"/>
        </w:rPr>
        <w:t xml:space="preserve">ASSET SHARES </w:t>
      </w:r>
    </w:p>
    <w:p w14:paraId="5A83A1E9" w14:textId="66A0EE20" w:rsidR="004E58EA" w:rsidRPr="004E58EA" w:rsidRDefault="004E58EA" w:rsidP="004E58EA">
      <w:pPr>
        <w:jc w:val="both"/>
        <w:rPr>
          <w:rFonts w:cs="Arial"/>
        </w:rPr>
      </w:pPr>
      <w:r w:rsidRPr="004E58EA">
        <w:rPr>
          <w:rFonts w:cs="Arial"/>
        </w:rPr>
        <w:t xml:space="preserve">The </w:t>
      </w:r>
      <w:r w:rsidR="00177D13">
        <w:rPr>
          <w:rFonts w:cs="Arial"/>
        </w:rPr>
        <w:t>Fund</w:t>
      </w:r>
      <w:r w:rsidRPr="004E58EA">
        <w:rPr>
          <w:rFonts w:cs="Arial"/>
        </w:rPr>
        <w:t xml:space="preserve"> is a multi-employer pension </w:t>
      </w:r>
      <w:r w:rsidR="00177D13">
        <w:rPr>
          <w:rFonts w:cs="Arial"/>
        </w:rPr>
        <w:t>Fund</w:t>
      </w:r>
      <w:r w:rsidRPr="004E58EA">
        <w:rPr>
          <w:rFonts w:cs="Arial"/>
        </w:rPr>
        <w:t xml:space="preserve"> that is not formally unitised and so individual employer asset shares are calculated at each actuarial valuation.  This means it is necessary to make some approximations in the timing of cashflows and allocation of investment returns when deriving the employer asset share.  </w:t>
      </w:r>
    </w:p>
    <w:p w14:paraId="0DCEC30A" w14:textId="17074283" w:rsidR="00F82096" w:rsidRPr="00F82096" w:rsidRDefault="00F82096" w:rsidP="00F82096">
      <w:pPr>
        <w:jc w:val="both"/>
        <w:rPr>
          <w:rFonts w:cs="Arial"/>
        </w:rPr>
      </w:pPr>
      <w:r w:rsidRPr="00F82096">
        <w:rPr>
          <w:rFonts w:cs="Arial"/>
        </w:rPr>
        <w:t xml:space="preserve">In attributing the overall investment performance obtained on the assets of the </w:t>
      </w:r>
      <w:r w:rsidR="00177D13">
        <w:rPr>
          <w:rFonts w:cs="Arial"/>
        </w:rPr>
        <w:t>Fund</w:t>
      </w:r>
      <w:r w:rsidRPr="00F82096">
        <w:rPr>
          <w:rFonts w:cs="Arial"/>
        </w:rPr>
        <w:t xml:space="preserve"> to each employer a pro-rata principle is adopted. This approach is effectively one of applying a notional individual employer investment strategy identical to that adopted for the </w:t>
      </w:r>
      <w:r w:rsidR="00177D13">
        <w:rPr>
          <w:rFonts w:cs="Arial"/>
        </w:rPr>
        <w:t>Fund</w:t>
      </w:r>
      <w:r w:rsidRPr="00F82096">
        <w:rPr>
          <w:rFonts w:cs="Arial"/>
        </w:rPr>
        <w:t xml:space="preserve"> as a whole unless agreed otherwise between the employer and the </w:t>
      </w:r>
      <w:r w:rsidR="00177D13">
        <w:rPr>
          <w:rFonts w:cs="Arial"/>
        </w:rPr>
        <w:t>Fund</w:t>
      </w:r>
      <w:r w:rsidRPr="00F82096">
        <w:rPr>
          <w:rFonts w:cs="Arial"/>
        </w:rPr>
        <w:t xml:space="preserve"> at the sole discretion of the Administering Authority.</w:t>
      </w:r>
    </w:p>
    <w:p w14:paraId="0F2550FC" w14:textId="29F60946" w:rsidR="0078043A" w:rsidRPr="00D567FB" w:rsidRDefault="0078043A" w:rsidP="00D567FB">
      <w:pPr>
        <w:jc w:val="both"/>
        <w:rPr>
          <w:rFonts w:cs="Arial"/>
        </w:rPr>
      </w:pPr>
      <w:r w:rsidRPr="00D567FB">
        <w:rPr>
          <w:rFonts w:cs="Arial"/>
        </w:rPr>
        <w:t xml:space="preserve">At each review, cashflows into and out of the </w:t>
      </w:r>
      <w:r w:rsidR="00177D13">
        <w:rPr>
          <w:rFonts w:cs="Arial"/>
        </w:rPr>
        <w:t>Fund</w:t>
      </w:r>
      <w:r w:rsidRPr="00D567FB">
        <w:rPr>
          <w:rFonts w:cs="Arial"/>
        </w:rPr>
        <w:t xml:space="preserve"> relating to each employer, any movement of members between employers within the </w:t>
      </w:r>
      <w:r w:rsidR="00177D13">
        <w:rPr>
          <w:rFonts w:cs="Arial"/>
        </w:rPr>
        <w:t>Fund</w:t>
      </w:r>
      <w:r w:rsidRPr="00D567FB">
        <w:rPr>
          <w:rFonts w:cs="Arial"/>
        </w:rPr>
        <w:t xml:space="preserve">, along with investment return earned on the asset share, are allowed for when calculating asset shares at each valuation.  </w:t>
      </w:r>
    </w:p>
    <w:p w14:paraId="25A0896C" w14:textId="3705F7F9" w:rsidR="0078043A" w:rsidRPr="00D567FB" w:rsidRDefault="0078043A" w:rsidP="00D567FB">
      <w:pPr>
        <w:jc w:val="both"/>
        <w:rPr>
          <w:rFonts w:cs="Arial"/>
        </w:rPr>
      </w:pPr>
      <w:r w:rsidRPr="00D567FB">
        <w:rPr>
          <w:rFonts w:cs="Arial"/>
        </w:rPr>
        <w:t xml:space="preserve">Other adjustments are also made on account of the funding positions of orphan bodies which fall to be met by all other active employers in the </w:t>
      </w:r>
      <w:r w:rsidR="00177D13">
        <w:rPr>
          <w:rFonts w:cs="Arial"/>
        </w:rPr>
        <w:t>Fund</w:t>
      </w:r>
      <w:r w:rsidRPr="00D567FB">
        <w:rPr>
          <w:rFonts w:cs="Arial"/>
        </w:rPr>
        <w:t>.</w:t>
      </w:r>
    </w:p>
    <w:p w14:paraId="6E22B44D" w14:textId="77777777" w:rsidR="0078043A" w:rsidRPr="00597D55" w:rsidRDefault="0078043A" w:rsidP="00597D55">
      <w:pPr>
        <w:pStyle w:val="Para-1stLevel"/>
        <w:numPr>
          <w:ilvl w:val="0"/>
          <w:numId w:val="0"/>
        </w:numPr>
        <w:spacing w:after="120"/>
        <w:jc w:val="both"/>
        <w:rPr>
          <w:color w:val="7C848A"/>
          <w:szCs w:val="20"/>
          <w:lang w:val="en-US" w:eastAsia="en-US"/>
        </w:rPr>
      </w:pPr>
    </w:p>
    <w:p w14:paraId="4E25BD88" w14:textId="731D30D5" w:rsidR="007E77EE" w:rsidRDefault="007E77EE" w:rsidP="007E77EE">
      <w:pPr>
        <w:pStyle w:val="Heading10"/>
      </w:pPr>
      <w:r w:rsidRPr="00E56700">
        <w:rPr>
          <w:rFonts w:cs="Arial"/>
        </w:rPr>
        <w:br w:type="page"/>
      </w:r>
      <w:r w:rsidRPr="007E77EE">
        <w:t>Summary of key whole Fund assumptions used for calculating funding target and cost of future accrual (the “</w:t>
      </w:r>
      <w:r w:rsidR="0010456F">
        <w:t>primary rate</w:t>
      </w:r>
      <w:r w:rsidRPr="007E77EE">
        <w:t>”) for the 201</w:t>
      </w:r>
      <w:r>
        <w:t>6</w:t>
      </w:r>
      <w:r w:rsidRPr="007E77EE">
        <w:t xml:space="preserve"> actuarial valuation</w:t>
      </w:r>
    </w:p>
    <w:p w14:paraId="24917024" w14:textId="77777777" w:rsidR="00597D55" w:rsidRPr="00597D55" w:rsidRDefault="00597D55" w:rsidP="00597D55">
      <w:pPr>
        <w:pStyle w:val="DocumentText"/>
      </w:pPr>
    </w:p>
    <w:tbl>
      <w:tblPr>
        <w:tblStyle w:val="TableGrid"/>
        <w:tblpPr w:leftFromText="180" w:rightFromText="180" w:vertAnchor="text" w:horzAnchor="margin" w:tblpY="110"/>
        <w:tblW w:w="9914"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414"/>
        <w:gridCol w:w="4518"/>
        <w:gridCol w:w="4982"/>
      </w:tblGrid>
      <w:tr w:rsidR="007E77EE" w:rsidRPr="009A05AB" w14:paraId="0B8E73E7" w14:textId="77777777" w:rsidTr="000A7A11">
        <w:trPr>
          <w:cantSplit/>
        </w:trPr>
        <w:tc>
          <w:tcPr>
            <w:tcW w:w="4932" w:type="dxa"/>
            <w:gridSpan w:val="2"/>
            <w:tcBorders>
              <w:top w:val="single" w:sz="8" w:space="0" w:color="auto"/>
              <w:bottom w:val="single" w:sz="8" w:space="0" w:color="auto"/>
            </w:tcBorders>
            <w:shd w:val="clear" w:color="auto" w:fill="auto"/>
            <w:vAlign w:val="bottom"/>
          </w:tcPr>
          <w:p w14:paraId="18E4DFC1" w14:textId="75A21979" w:rsidR="007E77EE" w:rsidRPr="009A05AB" w:rsidRDefault="007E77EE" w:rsidP="0010456F">
            <w:pPr>
              <w:pStyle w:val="TableHeadingText"/>
              <w:spacing w:before="100" w:beforeAutospacing="1" w:after="100" w:afterAutospacing="1"/>
              <w:rPr>
                <w:rFonts w:ascii="Arial" w:hAnsi="Arial" w:cs="Arial"/>
                <w:sz w:val="24"/>
                <w:szCs w:val="24"/>
              </w:rPr>
            </w:pPr>
            <w:r w:rsidRPr="009A05AB">
              <w:rPr>
                <w:rFonts w:ascii="Arial" w:hAnsi="Arial" w:cs="Arial"/>
                <w:sz w:val="24"/>
                <w:szCs w:val="24"/>
              </w:rPr>
              <w:t>Long-term yields</w:t>
            </w:r>
          </w:p>
        </w:tc>
        <w:tc>
          <w:tcPr>
            <w:tcW w:w="4982" w:type="dxa"/>
            <w:tcBorders>
              <w:top w:val="single" w:sz="8" w:space="0" w:color="auto"/>
              <w:bottom w:val="single" w:sz="8" w:space="0" w:color="auto"/>
            </w:tcBorders>
            <w:shd w:val="clear" w:color="auto" w:fill="auto"/>
            <w:vAlign w:val="bottom"/>
          </w:tcPr>
          <w:p w14:paraId="1F689E52" w14:textId="77777777" w:rsidR="007E77EE" w:rsidRPr="009A05AB" w:rsidRDefault="007E77EE" w:rsidP="000A7A11">
            <w:pPr>
              <w:pStyle w:val="TableHeadingText"/>
              <w:spacing w:before="100" w:beforeAutospacing="1" w:after="100" w:afterAutospacing="1"/>
              <w:rPr>
                <w:rFonts w:ascii="Arial" w:hAnsi="Arial" w:cs="Arial"/>
                <w:sz w:val="24"/>
                <w:szCs w:val="24"/>
              </w:rPr>
            </w:pPr>
          </w:p>
        </w:tc>
      </w:tr>
      <w:tr w:rsidR="007E77EE" w:rsidRPr="009A05AB" w14:paraId="03815901" w14:textId="77777777" w:rsidTr="000A7A11">
        <w:trPr>
          <w:cantSplit/>
        </w:trPr>
        <w:tc>
          <w:tcPr>
            <w:tcW w:w="414" w:type="dxa"/>
            <w:tcBorders>
              <w:top w:val="single" w:sz="8" w:space="0" w:color="auto"/>
            </w:tcBorders>
            <w:shd w:val="clear" w:color="auto" w:fill="auto"/>
          </w:tcPr>
          <w:p w14:paraId="73011CA9" w14:textId="77777777" w:rsidR="007E77EE" w:rsidRPr="009A05AB" w:rsidRDefault="007E77EE" w:rsidP="000A7A11">
            <w:pPr>
              <w:pStyle w:val="TableText0"/>
              <w:spacing w:before="100" w:beforeAutospacing="1" w:after="100" w:afterAutospacing="1" w:line="240" w:lineRule="auto"/>
              <w:rPr>
                <w:rFonts w:cs="Arial"/>
                <w:sz w:val="24"/>
                <w:szCs w:val="24"/>
              </w:rPr>
            </w:pPr>
          </w:p>
        </w:tc>
        <w:tc>
          <w:tcPr>
            <w:tcW w:w="4518" w:type="dxa"/>
            <w:tcBorders>
              <w:top w:val="single" w:sz="8" w:space="0" w:color="auto"/>
            </w:tcBorders>
            <w:shd w:val="clear" w:color="auto" w:fill="auto"/>
          </w:tcPr>
          <w:p w14:paraId="0CB584FF" w14:textId="76695F7A" w:rsidR="007E77EE" w:rsidRPr="009A05AB" w:rsidRDefault="0010456F" w:rsidP="000A7A11">
            <w:pPr>
              <w:pStyle w:val="TableText0"/>
              <w:spacing w:before="100" w:beforeAutospacing="1" w:after="100" w:afterAutospacing="1" w:line="240" w:lineRule="auto"/>
              <w:rPr>
                <w:rFonts w:cs="Arial"/>
                <w:sz w:val="24"/>
                <w:szCs w:val="24"/>
              </w:rPr>
            </w:pPr>
            <w:r>
              <w:rPr>
                <w:rFonts w:cs="Arial"/>
                <w:sz w:val="24"/>
                <w:szCs w:val="24"/>
              </w:rPr>
              <w:t>Market implied RPI inflation</w:t>
            </w:r>
          </w:p>
        </w:tc>
        <w:tc>
          <w:tcPr>
            <w:tcW w:w="4982" w:type="dxa"/>
            <w:tcBorders>
              <w:top w:val="single" w:sz="8" w:space="0" w:color="auto"/>
            </w:tcBorders>
            <w:shd w:val="clear" w:color="auto" w:fill="auto"/>
          </w:tcPr>
          <w:p w14:paraId="2ABBD905" w14:textId="3E1DE7FB" w:rsidR="007E77EE" w:rsidRPr="009A05AB" w:rsidRDefault="00D04D1C" w:rsidP="004777CD">
            <w:pPr>
              <w:pStyle w:val="TableText0"/>
              <w:spacing w:before="100" w:beforeAutospacing="1" w:after="100" w:afterAutospacing="1" w:line="240" w:lineRule="auto"/>
              <w:rPr>
                <w:rFonts w:cs="Arial"/>
                <w:sz w:val="24"/>
                <w:szCs w:val="24"/>
              </w:rPr>
            </w:pPr>
            <w:r>
              <w:rPr>
                <w:rFonts w:cs="Arial"/>
                <w:sz w:val="24"/>
                <w:szCs w:val="24"/>
              </w:rPr>
              <w:t>3.2</w:t>
            </w:r>
            <w:r w:rsidR="0010456F">
              <w:rPr>
                <w:rFonts w:cs="Arial"/>
                <w:sz w:val="24"/>
                <w:szCs w:val="24"/>
              </w:rPr>
              <w:t>% p.a.</w:t>
            </w:r>
          </w:p>
        </w:tc>
      </w:tr>
      <w:tr w:rsidR="007E77EE" w:rsidRPr="009A05AB" w14:paraId="174E329E" w14:textId="77777777" w:rsidTr="000A7A11">
        <w:trPr>
          <w:cantSplit/>
        </w:trPr>
        <w:tc>
          <w:tcPr>
            <w:tcW w:w="4932" w:type="dxa"/>
            <w:gridSpan w:val="2"/>
            <w:shd w:val="clear" w:color="auto" w:fill="auto"/>
          </w:tcPr>
          <w:p w14:paraId="4C341E72" w14:textId="5D40408C" w:rsidR="007E77EE" w:rsidRPr="009A05AB" w:rsidRDefault="0010456F" w:rsidP="000A7A11">
            <w:pPr>
              <w:pStyle w:val="TableHeadingText"/>
              <w:spacing w:before="100" w:beforeAutospacing="1" w:after="100" w:afterAutospacing="1"/>
              <w:ind w:right="-792"/>
              <w:rPr>
                <w:rFonts w:ascii="Arial" w:hAnsi="Arial" w:cs="Arial"/>
                <w:sz w:val="24"/>
                <w:szCs w:val="24"/>
              </w:rPr>
            </w:pPr>
            <w:r>
              <w:rPr>
                <w:rFonts w:ascii="Arial" w:hAnsi="Arial" w:cs="Arial"/>
                <w:sz w:val="24"/>
                <w:szCs w:val="24"/>
              </w:rPr>
              <w:t xml:space="preserve">Solvency </w:t>
            </w:r>
            <w:r w:rsidR="007E77EE" w:rsidRPr="009A05AB">
              <w:rPr>
                <w:rFonts w:ascii="Arial" w:hAnsi="Arial" w:cs="Arial"/>
                <w:sz w:val="24"/>
                <w:szCs w:val="24"/>
              </w:rPr>
              <w:t xml:space="preserve">Funding Target financial </w:t>
            </w:r>
            <w:r w:rsidR="007E77EE">
              <w:rPr>
                <w:rFonts w:ascii="Arial" w:hAnsi="Arial" w:cs="Arial"/>
                <w:sz w:val="24"/>
                <w:szCs w:val="24"/>
              </w:rPr>
              <w:br/>
            </w:r>
            <w:r w:rsidR="007E77EE" w:rsidRPr="009A05AB">
              <w:rPr>
                <w:rFonts w:ascii="Arial" w:hAnsi="Arial" w:cs="Arial"/>
                <w:sz w:val="24"/>
                <w:szCs w:val="24"/>
              </w:rPr>
              <w:t>assumptions</w:t>
            </w:r>
          </w:p>
        </w:tc>
        <w:tc>
          <w:tcPr>
            <w:tcW w:w="4982" w:type="dxa"/>
            <w:shd w:val="clear" w:color="auto" w:fill="auto"/>
          </w:tcPr>
          <w:p w14:paraId="0680D3E9" w14:textId="77777777" w:rsidR="007E77EE" w:rsidRPr="009A05AB" w:rsidRDefault="007E77EE" w:rsidP="000A7A11">
            <w:pPr>
              <w:pStyle w:val="TableText0"/>
              <w:spacing w:before="100" w:beforeAutospacing="1" w:after="100" w:afterAutospacing="1" w:line="240" w:lineRule="auto"/>
              <w:rPr>
                <w:rFonts w:cs="Arial"/>
                <w:sz w:val="24"/>
                <w:szCs w:val="24"/>
              </w:rPr>
            </w:pPr>
          </w:p>
        </w:tc>
      </w:tr>
      <w:tr w:rsidR="007E77EE" w:rsidRPr="009A05AB" w14:paraId="5B3A69DD" w14:textId="77777777" w:rsidTr="000A7A11">
        <w:trPr>
          <w:cantSplit/>
        </w:trPr>
        <w:tc>
          <w:tcPr>
            <w:tcW w:w="414" w:type="dxa"/>
            <w:shd w:val="clear" w:color="auto" w:fill="auto"/>
          </w:tcPr>
          <w:p w14:paraId="2DF887E1" w14:textId="77777777" w:rsidR="007E77EE" w:rsidRPr="009A05AB" w:rsidRDefault="007E77EE" w:rsidP="000A7A11">
            <w:pPr>
              <w:pStyle w:val="TableText0"/>
              <w:spacing w:before="100" w:beforeAutospacing="1" w:after="100" w:afterAutospacing="1" w:line="240" w:lineRule="auto"/>
              <w:rPr>
                <w:rFonts w:cs="Arial"/>
                <w:sz w:val="24"/>
                <w:szCs w:val="24"/>
              </w:rPr>
            </w:pPr>
          </w:p>
        </w:tc>
        <w:tc>
          <w:tcPr>
            <w:tcW w:w="4518" w:type="dxa"/>
            <w:shd w:val="clear" w:color="auto" w:fill="auto"/>
          </w:tcPr>
          <w:p w14:paraId="32818A39" w14:textId="77777777" w:rsidR="007E77EE" w:rsidRPr="009A05AB" w:rsidRDefault="007E77EE" w:rsidP="000A7A11">
            <w:pPr>
              <w:pStyle w:val="TableText0"/>
              <w:spacing w:before="100" w:beforeAutospacing="1" w:after="100" w:afterAutospacing="1" w:line="240" w:lineRule="auto"/>
              <w:rPr>
                <w:rFonts w:cs="Arial"/>
                <w:sz w:val="24"/>
                <w:szCs w:val="24"/>
              </w:rPr>
            </w:pPr>
            <w:r w:rsidRPr="009A05AB">
              <w:rPr>
                <w:rFonts w:cs="Arial"/>
                <w:sz w:val="24"/>
                <w:szCs w:val="24"/>
              </w:rPr>
              <w:t>Investment return</w:t>
            </w:r>
            <w:r>
              <w:rPr>
                <w:rFonts w:cs="Arial"/>
                <w:sz w:val="24"/>
                <w:szCs w:val="24"/>
              </w:rPr>
              <w:t>/Discount Rate</w:t>
            </w:r>
          </w:p>
        </w:tc>
        <w:tc>
          <w:tcPr>
            <w:tcW w:w="4982" w:type="dxa"/>
            <w:shd w:val="clear" w:color="auto" w:fill="auto"/>
          </w:tcPr>
          <w:p w14:paraId="2EA06B20" w14:textId="7C4B50D9" w:rsidR="007E77EE" w:rsidRPr="009A05AB" w:rsidRDefault="00D04D1C" w:rsidP="006F78CE">
            <w:pPr>
              <w:pStyle w:val="TableText0"/>
              <w:spacing w:before="100" w:beforeAutospacing="1" w:after="100" w:afterAutospacing="1" w:line="240" w:lineRule="auto"/>
              <w:rPr>
                <w:rFonts w:cs="Arial"/>
                <w:sz w:val="24"/>
                <w:szCs w:val="24"/>
              </w:rPr>
            </w:pPr>
            <w:r>
              <w:rPr>
                <w:rFonts w:cs="Arial"/>
                <w:sz w:val="24"/>
                <w:szCs w:val="24"/>
              </w:rPr>
              <w:t>4.</w:t>
            </w:r>
            <w:r w:rsidR="006F78CE">
              <w:rPr>
                <w:rFonts w:cs="Arial"/>
                <w:sz w:val="24"/>
                <w:szCs w:val="24"/>
              </w:rPr>
              <w:t>4</w:t>
            </w:r>
            <w:r w:rsidR="0010456F">
              <w:rPr>
                <w:rFonts w:cs="Arial"/>
                <w:sz w:val="24"/>
                <w:szCs w:val="24"/>
              </w:rPr>
              <w:t>% p.a.</w:t>
            </w:r>
          </w:p>
        </w:tc>
      </w:tr>
      <w:tr w:rsidR="007E77EE" w:rsidRPr="009A05AB" w14:paraId="67BBACDB" w14:textId="77777777" w:rsidTr="000A7A11">
        <w:trPr>
          <w:cantSplit/>
        </w:trPr>
        <w:tc>
          <w:tcPr>
            <w:tcW w:w="414" w:type="dxa"/>
            <w:shd w:val="clear" w:color="auto" w:fill="auto"/>
          </w:tcPr>
          <w:p w14:paraId="6AFC28D0" w14:textId="77777777" w:rsidR="007E77EE" w:rsidRPr="009A05AB" w:rsidRDefault="007E77EE" w:rsidP="000A7A11">
            <w:pPr>
              <w:pStyle w:val="TableText0"/>
              <w:spacing w:before="100" w:beforeAutospacing="1" w:after="100" w:afterAutospacing="1" w:line="240" w:lineRule="auto"/>
              <w:rPr>
                <w:rFonts w:cs="Arial"/>
                <w:sz w:val="24"/>
                <w:szCs w:val="24"/>
              </w:rPr>
            </w:pPr>
          </w:p>
        </w:tc>
        <w:tc>
          <w:tcPr>
            <w:tcW w:w="4518" w:type="dxa"/>
            <w:shd w:val="clear" w:color="auto" w:fill="auto"/>
          </w:tcPr>
          <w:p w14:paraId="66B6921F" w14:textId="77777777" w:rsidR="007E77EE" w:rsidRPr="009A05AB" w:rsidRDefault="007E77EE" w:rsidP="000A7A11">
            <w:pPr>
              <w:pStyle w:val="TableText0"/>
              <w:spacing w:before="100" w:beforeAutospacing="1" w:after="100" w:afterAutospacing="1" w:line="240" w:lineRule="auto"/>
              <w:rPr>
                <w:rFonts w:cs="Arial"/>
                <w:sz w:val="24"/>
                <w:szCs w:val="24"/>
              </w:rPr>
            </w:pPr>
            <w:r>
              <w:rPr>
                <w:rFonts w:cs="Arial"/>
                <w:sz w:val="24"/>
                <w:szCs w:val="24"/>
              </w:rPr>
              <w:t>CPI price inflation</w:t>
            </w:r>
          </w:p>
        </w:tc>
        <w:tc>
          <w:tcPr>
            <w:tcW w:w="4982" w:type="dxa"/>
            <w:shd w:val="clear" w:color="auto" w:fill="auto"/>
          </w:tcPr>
          <w:p w14:paraId="051091F2" w14:textId="20562582" w:rsidR="007E77EE" w:rsidRPr="009A05AB" w:rsidRDefault="00D04D1C" w:rsidP="000A7A11">
            <w:pPr>
              <w:pStyle w:val="TableText0"/>
              <w:spacing w:before="100" w:beforeAutospacing="1" w:after="100" w:afterAutospacing="1" w:line="240" w:lineRule="auto"/>
              <w:rPr>
                <w:rFonts w:cs="Arial"/>
                <w:sz w:val="24"/>
                <w:szCs w:val="24"/>
              </w:rPr>
            </w:pPr>
            <w:r>
              <w:rPr>
                <w:rFonts w:cs="Arial"/>
                <w:sz w:val="24"/>
                <w:szCs w:val="24"/>
              </w:rPr>
              <w:t>2.2</w:t>
            </w:r>
            <w:r w:rsidR="0010456F">
              <w:rPr>
                <w:rFonts w:cs="Arial"/>
                <w:sz w:val="24"/>
                <w:szCs w:val="24"/>
              </w:rPr>
              <w:t>% p.a.</w:t>
            </w:r>
          </w:p>
        </w:tc>
      </w:tr>
      <w:tr w:rsidR="007E77EE" w:rsidRPr="009A05AB" w14:paraId="5B28D109" w14:textId="77777777" w:rsidTr="000A7A11">
        <w:trPr>
          <w:cantSplit/>
        </w:trPr>
        <w:tc>
          <w:tcPr>
            <w:tcW w:w="414" w:type="dxa"/>
            <w:shd w:val="clear" w:color="auto" w:fill="auto"/>
          </w:tcPr>
          <w:p w14:paraId="25E33363" w14:textId="77777777" w:rsidR="007E77EE" w:rsidRPr="009A05AB" w:rsidRDefault="007E77EE" w:rsidP="000A7A11">
            <w:pPr>
              <w:pStyle w:val="TableText0"/>
              <w:spacing w:before="100" w:beforeAutospacing="1" w:after="100" w:afterAutospacing="1" w:line="240" w:lineRule="auto"/>
              <w:rPr>
                <w:rFonts w:cs="Arial"/>
                <w:sz w:val="24"/>
                <w:szCs w:val="24"/>
              </w:rPr>
            </w:pPr>
          </w:p>
        </w:tc>
        <w:tc>
          <w:tcPr>
            <w:tcW w:w="4518" w:type="dxa"/>
            <w:shd w:val="clear" w:color="auto" w:fill="auto"/>
          </w:tcPr>
          <w:p w14:paraId="1837310A" w14:textId="77777777" w:rsidR="007E77EE" w:rsidRPr="009A05AB" w:rsidRDefault="007E77EE" w:rsidP="000A7A11">
            <w:pPr>
              <w:pStyle w:val="TableText0"/>
              <w:spacing w:before="100" w:beforeAutospacing="1" w:after="100" w:afterAutospacing="1" w:line="240" w:lineRule="auto"/>
              <w:rPr>
                <w:rFonts w:cs="Arial"/>
                <w:sz w:val="24"/>
                <w:szCs w:val="24"/>
              </w:rPr>
            </w:pPr>
            <w:r>
              <w:rPr>
                <w:rFonts w:cs="Arial"/>
                <w:sz w:val="24"/>
                <w:szCs w:val="24"/>
              </w:rPr>
              <w:t xml:space="preserve">Long Term </w:t>
            </w:r>
            <w:r w:rsidRPr="009A05AB">
              <w:rPr>
                <w:rFonts w:cs="Arial"/>
                <w:sz w:val="24"/>
                <w:szCs w:val="24"/>
              </w:rPr>
              <w:t>Salary increases</w:t>
            </w:r>
          </w:p>
        </w:tc>
        <w:tc>
          <w:tcPr>
            <w:tcW w:w="4982" w:type="dxa"/>
            <w:shd w:val="clear" w:color="auto" w:fill="auto"/>
          </w:tcPr>
          <w:p w14:paraId="1860F878" w14:textId="3F6D73AA" w:rsidR="007E77EE" w:rsidRPr="009A05AB" w:rsidRDefault="00D04D1C" w:rsidP="000A7A11">
            <w:pPr>
              <w:pStyle w:val="TableText0"/>
              <w:spacing w:before="100" w:beforeAutospacing="1" w:after="100" w:afterAutospacing="1" w:line="240" w:lineRule="auto"/>
              <w:rPr>
                <w:rFonts w:cs="Arial"/>
                <w:sz w:val="24"/>
                <w:szCs w:val="24"/>
              </w:rPr>
            </w:pPr>
            <w:r>
              <w:rPr>
                <w:rFonts w:cs="Arial"/>
                <w:sz w:val="24"/>
                <w:szCs w:val="24"/>
              </w:rPr>
              <w:t>3.7</w:t>
            </w:r>
            <w:r w:rsidR="0010456F">
              <w:rPr>
                <w:rFonts w:cs="Arial"/>
                <w:sz w:val="24"/>
                <w:szCs w:val="24"/>
              </w:rPr>
              <w:t>% p.a.</w:t>
            </w:r>
          </w:p>
        </w:tc>
      </w:tr>
      <w:tr w:rsidR="007E77EE" w:rsidRPr="009A05AB" w14:paraId="0186F679" w14:textId="77777777" w:rsidTr="000A7A11">
        <w:trPr>
          <w:cantSplit/>
        </w:trPr>
        <w:tc>
          <w:tcPr>
            <w:tcW w:w="414" w:type="dxa"/>
            <w:shd w:val="clear" w:color="auto" w:fill="auto"/>
          </w:tcPr>
          <w:p w14:paraId="47E81E03" w14:textId="77777777" w:rsidR="007E77EE" w:rsidRPr="009A05AB" w:rsidRDefault="007E77EE" w:rsidP="000A7A11">
            <w:pPr>
              <w:pStyle w:val="TableText0"/>
              <w:spacing w:before="100" w:beforeAutospacing="1" w:after="100" w:afterAutospacing="1" w:line="240" w:lineRule="auto"/>
              <w:rPr>
                <w:rFonts w:cs="Arial"/>
                <w:sz w:val="24"/>
                <w:szCs w:val="24"/>
              </w:rPr>
            </w:pPr>
          </w:p>
        </w:tc>
        <w:tc>
          <w:tcPr>
            <w:tcW w:w="4518" w:type="dxa"/>
            <w:shd w:val="clear" w:color="auto" w:fill="auto"/>
          </w:tcPr>
          <w:p w14:paraId="2ED42777" w14:textId="77777777" w:rsidR="007E77EE" w:rsidRPr="009A05AB" w:rsidRDefault="007E77EE" w:rsidP="000A7A11">
            <w:pPr>
              <w:pStyle w:val="TableText0"/>
              <w:spacing w:before="100" w:beforeAutospacing="1" w:after="100" w:afterAutospacing="1" w:line="240" w:lineRule="auto"/>
              <w:rPr>
                <w:rFonts w:cs="Arial"/>
                <w:sz w:val="24"/>
                <w:szCs w:val="24"/>
              </w:rPr>
            </w:pPr>
            <w:r w:rsidRPr="009A05AB">
              <w:rPr>
                <w:rFonts w:cs="Arial"/>
                <w:sz w:val="24"/>
                <w:szCs w:val="24"/>
              </w:rPr>
              <w:t>Pension increases</w:t>
            </w:r>
            <w:r>
              <w:rPr>
                <w:rFonts w:cs="Arial"/>
                <w:sz w:val="24"/>
                <w:szCs w:val="24"/>
              </w:rPr>
              <w:t>/indexation of CARE benefits</w:t>
            </w:r>
          </w:p>
        </w:tc>
        <w:tc>
          <w:tcPr>
            <w:tcW w:w="4982" w:type="dxa"/>
            <w:shd w:val="clear" w:color="auto" w:fill="auto"/>
          </w:tcPr>
          <w:p w14:paraId="1BFAD9EC" w14:textId="0419EF7D" w:rsidR="007E77EE" w:rsidRPr="009A05AB" w:rsidRDefault="00D04D1C" w:rsidP="000A7A11">
            <w:pPr>
              <w:pStyle w:val="TableText0"/>
              <w:spacing w:before="100" w:beforeAutospacing="1" w:after="100" w:afterAutospacing="1" w:line="240" w:lineRule="auto"/>
              <w:rPr>
                <w:rFonts w:cs="Arial"/>
                <w:sz w:val="24"/>
                <w:szCs w:val="24"/>
              </w:rPr>
            </w:pPr>
            <w:r>
              <w:rPr>
                <w:rFonts w:cs="Arial"/>
                <w:sz w:val="24"/>
                <w:szCs w:val="24"/>
              </w:rPr>
              <w:t>2.2</w:t>
            </w:r>
            <w:r w:rsidR="0010456F">
              <w:rPr>
                <w:rFonts w:cs="Arial"/>
                <w:sz w:val="24"/>
                <w:szCs w:val="24"/>
              </w:rPr>
              <w:t>% p.a.</w:t>
            </w:r>
          </w:p>
        </w:tc>
      </w:tr>
      <w:tr w:rsidR="007E77EE" w:rsidRPr="009A05AB" w14:paraId="53DBF228" w14:textId="77777777" w:rsidTr="000A7A11">
        <w:trPr>
          <w:cantSplit/>
        </w:trPr>
        <w:tc>
          <w:tcPr>
            <w:tcW w:w="4932" w:type="dxa"/>
            <w:gridSpan w:val="2"/>
            <w:shd w:val="clear" w:color="auto" w:fill="auto"/>
          </w:tcPr>
          <w:p w14:paraId="31AA3B3A" w14:textId="77777777" w:rsidR="007E77EE" w:rsidRPr="009A05AB" w:rsidRDefault="007E77EE" w:rsidP="000A7A11">
            <w:pPr>
              <w:pStyle w:val="TableHeadingText"/>
              <w:spacing w:before="100" w:beforeAutospacing="1" w:after="100" w:afterAutospacing="1"/>
              <w:ind w:right="-432"/>
              <w:rPr>
                <w:rFonts w:ascii="Arial" w:hAnsi="Arial" w:cs="Arial"/>
                <w:sz w:val="24"/>
                <w:szCs w:val="24"/>
              </w:rPr>
            </w:pPr>
            <w:r w:rsidRPr="009A05AB">
              <w:rPr>
                <w:rFonts w:ascii="Arial" w:hAnsi="Arial" w:cs="Arial"/>
                <w:sz w:val="24"/>
                <w:szCs w:val="24"/>
              </w:rPr>
              <w:t xml:space="preserve">Future service accrual financial </w:t>
            </w:r>
            <w:r>
              <w:rPr>
                <w:rFonts w:ascii="Arial" w:hAnsi="Arial" w:cs="Arial"/>
                <w:sz w:val="24"/>
                <w:szCs w:val="24"/>
              </w:rPr>
              <w:br/>
            </w:r>
            <w:r w:rsidRPr="009A05AB">
              <w:rPr>
                <w:rFonts w:ascii="Arial" w:hAnsi="Arial" w:cs="Arial"/>
                <w:sz w:val="24"/>
                <w:szCs w:val="24"/>
              </w:rPr>
              <w:t>assumptions</w:t>
            </w:r>
          </w:p>
        </w:tc>
        <w:tc>
          <w:tcPr>
            <w:tcW w:w="4982" w:type="dxa"/>
            <w:shd w:val="clear" w:color="auto" w:fill="auto"/>
          </w:tcPr>
          <w:p w14:paraId="6AAEED8C" w14:textId="77777777" w:rsidR="007E77EE" w:rsidRPr="009A05AB" w:rsidRDefault="007E77EE" w:rsidP="000A7A11">
            <w:pPr>
              <w:pStyle w:val="TableText0"/>
              <w:spacing w:before="100" w:beforeAutospacing="1" w:after="100" w:afterAutospacing="1" w:line="240" w:lineRule="auto"/>
              <w:rPr>
                <w:rFonts w:cs="Arial"/>
                <w:sz w:val="24"/>
                <w:szCs w:val="24"/>
              </w:rPr>
            </w:pPr>
          </w:p>
        </w:tc>
      </w:tr>
      <w:tr w:rsidR="007E77EE" w:rsidRPr="009A05AB" w14:paraId="376C9964" w14:textId="77777777" w:rsidTr="000A7A11">
        <w:trPr>
          <w:cantSplit/>
        </w:trPr>
        <w:tc>
          <w:tcPr>
            <w:tcW w:w="414" w:type="dxa"/>
            <w:shd w:val="clear" w:color="auto" w:fill="auto"/>
          </w:tcPr>
          <w:p w14:paraId="37E5C60B" w14:textId="77777777" w:rsidR="007E77EE" w:rsidRPr="009A05AB" w:rsidRDefault="007E77EE" w:rsidP="000A7A11">
            <w:pPr>
              <w:pStyle w:val="TableText0"/>
              <w:spacing w:before="100" w:beforeAutospacing="1" w:after="100" w:afterAutospacing="1" w:line="240" w:lineRule="auto"/>
              <w:rPr>
                <w:rFonts w:cs="Arial"/>
                <w:sz w:val="24"/>
                <w:szCs w:val="24"/>
              </w:rPr>
            </w:pPr>
          </w:p>
        </w:tc>
        <w:tc>
          <w:tcPr>
            <w:tcW w:w="4518" w:type="dxa"/>
            <w:shd w:val="clear" w:color="auto" w:fill="auto"/>
          </w:tcPr>
          <w:p w14:paraId="04EB61DA" w14:textId="350283B1" w:rsidR="007E77EE" w:rsidRPr="009A05AB" w:rsidRDefault="007E77EE" w:rsidP="000A7A11">
            <w:pPr>
              <w:pStyle w:val="TableText0"/>
              <w:spacing w:before="100" w:beforeAutospacing="1" w:after="100" w:afterAutospacing="1" w:line="240" w:lineRule="auto"/>
              <w:rPr>
                <w:rFonts w:cs="Arial"/>
                <w:sz w:val="24"/>
                <w:szCs w:val="24"/>
              </w:rPr>
            </w:pPr>
            <w:r w:rsidRPr="009A05AB">
              <w:rPr>
                <w:rFonts w:cs="Arial"/>
                <w:sz w:val="24"/>
                <w:szCs w:val="24"/>
              </w:rPr>
              <w:t>Investment return</w:t>
            </w:r>
            <w:r w:rsidR="005179FB">
              <w:rPr>
                <w:rFonts w:cs="Arial"/>
                <w:sz w:val="24"/>
                <w:szCs w:val="24"/>
              </w:rPr>
              <w:t>/Discount Rate</w:t>
            </w:r>
          </w:p>
        </w:tc>
        <w:tc>
          <w:tcPr>
            <w:tcW w:w="4982" w:type="dxa"/>
            <w:shd w:val="clear" w:color="auto" w:fill="auto"/>
          </w:tcPr>
          <w:p w14:paraId="5515911B" w14:textId="65538A57" w:rsidR="007E77EE" w:rsidRPr="009A05AB" w:rsidRDefault="00D04D1C" w:rsidP="000A7A11">
            <w:pPr>
              <w:pStyle w:val="TableText0"/>
              <w:spacing w:before="100" w:beforeAutospacing="1" w:after="100" w:afterAutospacing="1" w:line="240" w:lineRule="auto"/>
              <w:rPr>
                <w:rFonts w:cs="Arial"/>
                <w:sz w:val="24"/>
                <w:szCs w:val="24"/>
              </w:rPr>
            </w:pPr>
            <w:r>
              <w:rPr>
                <w:rFonts w:cs="Arial"/>
                <w:sz w:val="24"/>
                <w:szCs w:val="24"/>
              </w:rPr>
              <w:t>4.95</w:t>
            </w:r>
            <w:r w:rsidR="0010456F">
              <w:rPr>
                <w:rFonts w:cs="Arial"/>
                <w:sz w:val="24"/>
                <w:szCs w:val="24"/>
              </w:rPr>
              <w:t>% p.a.</w:t>
            </w:r>
          </w:p>
        </w:tc>
      </w:tr>
      <w:tr w:rsidR="0010456F" w:rsidRPr="009A05AB" w14:paraId="1B44896F" w14:textId="77777777" w:rsidTr="000A7A11">
        <w:trPr>
          <w:cantSplit/>
        </w:trPr>
        <w:tc>
          <w:tcPr>
            <w:tcW w:w="414" w:type="dxa"/>
            <w:shd w:val="clear" w:color="auto" w:fill="auto"/>
          </w:tcPr>
          <w:p w14:paraId="5C457056" w14:textId="77777777" w:rsidR="0010456F" w:rsidRPr="009A05AB" w:rsidRDefault="0010456F" w:rsidP="0010456F">
            <w:pPr>
              <w:pStyle w:val="TableText0"/>
              <w:spacing w:before="100" w:beforeAutospacing="1" w:after="100" w:afterAutospacing="1" w:line="240" w:lineRule="auto"/>
              <w:rPr>
                <w:rFonts w:cs="Arial"/>
                <w:sz w:val="24"/>
                <w:szCs w:val="24"/>
              </w:rPr>
            </w:pPr>
          </w:p>
        </w:tc>
        <w:tc>
          <w:tcPr>
            <w:tcW w:w="4518" w:type="dxa"/>
            <w:shd w:val="clear" w:color="auto" w:fill="auto"/>
          </w:tcPr>
          <w:p w14:paraId="6EF3795E" w14:textId="77777777" w:rsidR="0010456F" w:rsidRPr="009A05AB" w:rsidRDefault="0010456F" w:rsidP="0010456F">
            <w:pPr>
              <w:pStyle w:val="TableText0"/>
              <w:spacing w:before="100" w:beforeAutospacing="1" w:after="100" w:afterAutospacing="1" w:line="240" w:lineRule="auto"/>
              <w:rPr>
                <w:rFonts w:cs="Arial"/>
                <w:sz w:val="24"/>
                <w:szCs w:val="24"/>
              </w:rPr>
            </w:pPr>
            <w:r>
              <w:rPr>
                <w:rFonts w:cs="Arial"/>
                <w:sz w:val="24"/>
                <w:szCs w:val="24"/>
              </w:rPr>
              <w:t>C</w:t>
            </w:r>
            <w:r w:rsidRPr="009A05AB">
              <w:rPr>
                <w:rFonts w:cs="Arial"/>
                <w:sz w:val="24"/>
                <w:szCs w:val="24"/>
              </w:rPr>
              <w:t>PI price inflation</w:t>
            </w:r>
          </w:p>
        </w:tc>
        <w:tc>
          <w:tcPr>
            <w:tcW w:w="4982" w:type="dxa"/>
            <w:shd w:val="clear" w:color="auto" w:fill="auto"/>
          </w:tcPr>
          <w:p w14:paraId="0D83FB18" w14:textId="52E4C340" w:rsidR="0010456F" w:rsidRPr="009A05AB" w:rsidRDefault="00D04D1C" w:rsidP="0010456F">
            <w:pPr>
              <w:pStyle w:val="TableText0"/>
              <w:spacing w:before="100" w:beforeAutospacing="1" w:after="100" w:afterAutospacing="1" w:line="240" w:lineRule="auto"/>
              <w:rPr>
                <w:rFonts w:cs="Arial"/>
                <w:sz w:val="24"/>
                <w:szCs w:val="24"/>
              </w:rPr>
            </w:pPr>
            <w:r>
              <w:rPr>
                <w:rFonts w:cs="Arial"/>
                <w:sz w:val="24"/>
                <w:szCs w:val="24"/>
              </w:rPr>
              <w:t>2.2</w:t>
            </w:r>
            <w:r w:rsidR="0010456F">
              <w:rPr>
                <w:rFonts w:cs="Arial"/>
                <w:sz w:val="24"/>
                <w:szCs w:val="24"/>
              </w:rPr>
              <w:t>% p.a.</w:t>
            </w:r>
          </w:p>
        </w:tc>
      </w:tr>
      <w:tr w:rsidR="0010456F" w:rsidRPr="009A05AB" w14:paraId="0B6DD8A1" w14:textId="77777777" w:rsidTr="000A7A11">
        <w:trPr>
          <w:cantSplit/>
        </w:trPr>
        <w:tc>
          <w:tcPr>
            <w:tcW w:w="414" w:type="dxa"/>
            <w:shd w:val="clear" w:color="auto" w:fill="auto"/>
          </w:tcPr>
          <w:p w14:paraId="2F592644" w14:textId="77777777" w:rsidR="0010456F" w:rsidRPr="009A05AB" w:rsidRDefault="0010456F" w:rsidP="0010456F">
            <w:pPr>
              <w:pStyle w:val="TableText0"/>
              <w:spacing w:before="100" w:beforeAutospacing="1" w:after="100" w:afterAutospacing="1" w:line="240" w:lineRule="auto"/>
              <w:rPr>
                <w:rFonts w:cs="Arial"/>
                <w:sz w:val="24"/>
                <w:szCs w:val="24"/>
              </w:rPr>
            </w:pPr>
          </w:p>
        </w:tc>
        <w:tc>
          <w:tcPr>
            <w:tcW w:w="4518" w:type="dxa"/>
            <w:shd w:val="clear" w:color="auto" w:fill="auto"/>
          </w:tcPr>
          <w:p w14:paraId="0A1DC85C" w14:textId="77777777" w:rsidR="0010456F" w:rsidRPr="009A05AB" w:rsidRDefault="0010456F" w:rsidP="0010456F">
            <w:pPr>
              <w:pStyle w:val="TableText0"/>
              <w:spacing w:before="100" w:beforeAutospacing="1" w:after="100" w:afterAutospacing="1" w:line="240" w:lineRule="auto"/>
              <w:rPr>
                <w:rFonts w:cs="Arial"/>
                <w:sz w:val="24"/>
                <w:szCs w:val="24"/>
              </w:rPr>
            </w:pPr>
            <w:r>
              <w:rPr>
                <w:rFonts w:cs="Arial"/>
                <w:sz w:val="24"/>
                <w:szCs w:val="24"/>
              </w:rPr>
              <w:t xml:space="preserve">Long Term </w:t>
            </w:r>
            <w:r w:rsidRPr="009A05AB">
              <w:rPr>
                <w:rFonts w:cs="Arial"/>
                <w:sz w:val="24"/>
                <w:szCs w:val="24"/>
              </w:rPr>
              <w:t>Salary increases</w:t>
            </w:r>
          </w:p>
        </w:tc>
        <w:tc>
          <w:tcPr>
            <w:tcW w:w="4982" w:type="dxa"/>
            <w:shd w:val="clear" w:color="auto" w:fill="auto"/>
          </w:tcPr>
          <w:p w14:paraId="339C3A1A" w14:textId="3C1427A2" w:rsidR="0010456F" w:rsidRPr="009A05AB" w:rsidRDefault="00D04D1C" w:rsidP="0010456F">
            <w:pPr>
              <w:pStyle w:val="TableText0"/>
              <w:spacing w:before="100" w:beforeAutospacing="1" w:after="100" w:afterAutospacing="1" w:line="240" w:lineRule="auto"/>
              <w:rPr>
                <w:rFonts w:cs="Arial"/>
                <w:sz w:val="24"/>
                <w:szCs w:val="24"/>
              </w:rPr>
            </w:pPr>
            <w:r>
              <w:rPr>
                <w:rFonts w:cs="Arial"/>
                <w:sz w:val="24"/>
                <w:szCs w:val="24"/>
              </w:rPr>
              <w:t>3.7</w:t>
            </w:r>
            <w:r w:rsidR="0010456F">
              <w:rPr>
                <w:rFonts w:cs="Arial"/>
                <w:sz w:val="24"/>
                <w:szCs w:val="24"/>
              </w:rPr>
              <w:t>% p.a.</w:t>
            </w:r>
          </w:p>
        </w:tc>
      </w:tr>
      <w:tr w:rsidR="0010456F" w:rsidRPr="009A05AB" w14:paraId="5362FC75" w14:textId="77777777" w:rsidTr="000A7A11">
        <w:trPr>
          <w:cantSplit/>
        </w:trPr>
        <w:tc>
          <w:tcPr>
            <w:tcW w:w="414" w:type="dxa"/>
            <w:shd w:val="clear" w:color="auto" w:fill="auto"/>
          </w:tcPr>
          <w:p w14:paraId="101C6285" w14:textId="77777777" w:rsidR="0010456F" w:rsidRPr="009A05AB" w:rsidRDefault="0010456F" w:rsidP="0010456F">
            <w:pPr>
              <w:pStyle w:val="TableText0"/>
              <w:spacing w:before="100" w:beforeAutospacing="1" w:after="100" w:afterAutospacing="1" w:line="240" w:lineRule="auto"/>
              <w:rPr>
                <w:rFonts w:cs="Arial"/>
                <w:sz w:val="24"/>
                <w:szCs w:val="24"/>
              </w:rPr>
            </w:pPr>
          </w:p>
        </w:tc>
        <w:tc>
          <w:tcPr>
            <w:tcW w:w="4518" w:type="dxa"/>
            <w:shd w:val="clear" w:color="auto" w:fill="auto"/>
          </w:tcPr>
          <w:p w14:paraId="2BFC4D7A" w14:textId="77777777" w:rsidR="0010456F" w:rsidRPr="009A05AB" w:rsidRDefault="0010456F" w:rsidP="0010456F">
            <w:pPr>
              <w:pStyle w:val="TableText0"/>
              <w:spacing w:before="100" w:beforeAutospacing="1" w:after="100" w:afterAutospacing="1" w:line="240" w:lineRule="auto"/>
              <w:rPr>
                <w:rFonts w:cs="Arial"/>
                <w:sz w:val="24"/>
                <w:szCs w:val="24"/>
              </w:rPr>
            </w:pPr>
            <w:r w:rsidRPr="00A464A3">
              <w:rPr>
                <w:rFonts w:cs="Arial"/>
                <w:sz w:val="24"/>
                <w:szCs w:val="24"/>
              </w:rPr>
              <w:t>Pension increases/indexation of CARE benefits</w:t>
            </w:r>
          </w:p>
        </w:tc>
        <w:tc>
          <w:tcPr>
            <w:tcW w:w="4982" w:type="dxa"/>
            <w:shd w:val="clear" w:color="auto" w:fill="auto"/>
          </w:tcPr>
          <w:p w14:paraId="09350DE7" w14:textId="75439AB3" w:rsidR="0010456F" w:rsidRPr="009A05AB" w:rsidRDefault="00D04D1C" w:rsidP="0010456F">
            <w:pPr>
              <w:pStyle w:val="TableText0"/>
              <w:spacing w:before="100" w:beforeAutospacing="1" w:after="100" w:afterAutospacing="1" w:line="240" w:lineRule="auto"/>
              <w:rPr>
                <w:rFonts w:cs="Arial"/>
                <w:sz w:val="24"/>
                <w:szCs w:val="24"/>
              </w:rPr>
            </w:pPr>
            <w:r>
              <w:rPr>
                <w:rFonts w:cs="Arial"/>
                <w:sz w:val="24"/>
                <w:szCs w:val="24"/>
              </w:rPr>
              <w:t>2.2</w:t>
            </w:r>
            <w:r w:rsidR="0010456F">
              <w:rPr>
                <w:rFonts w:cs="Arial"/>
                <w:sz w:val="24"/>
                <w:szCs w:val="24"/>
              </w:rPr>
              <w:t>% p.a.</w:t>
            </w:r>
          </w:p>
        </w:tc>
      </w:tr>
    </w:tbl>
    <w:p w14:paraId="177BEE6C" w14:textId="77777777" w:rsidR="007E77EE" w:rsidRPr="009A05AB" w:rsidRDefault="007E77EE" w:rsidP="007E77EE">
      <w:pPr>
        <w:rPr>
          <w:rFonts w:cs="Arial"/>
        </w:rPr>
      </w:pPr>
    </w:p>
    <w:p w14:paraId="08765784" w14:textId="6D530AF2" w:rsidR="007E77EE" w:rsidRPr="007E77EE" w:rsidRDefault="001D65EA" w:rsidP="007E77EE">
      <w:pPr>
        <w:pStyle w:val="Questions"/>
      </w:pPr>
      <w:r>
        <w:t>Life expectancy</w:t>
      </w:r>
      <w:r w:rsidR="007E77EE" w:rsidRPr="007E77EE">
        <w:t xml:space="preserve"> assumptions</w:t>
      </w:r>
    </w:p>
    <w:p w14:paraId="3F0811DC" w14:textId="1C9F0EAE" w:rsidR="007E77EE" w:rsidRPr="00CD1FE4" w:rsidRDefault="007E77EE" w:rsidP="007E77EE">
      <w:r w:rsidRPr="009F1287">
        <w:rPr>
          <w:rFonts w:cs="Arial"/>
        </w:rPr>
        <w:t xml:space="preserve">The </w:t>
      </w:r>
      <w:r>
        <w:rPr>
          <w:rFonts w:cs="Arial"/>
        </w:rPr>
        <w:t xml:space="preserve">post retirement </w:t>
      </w:r>
      <w:r w:rsidRPr="009F1287">
        <w:rPr>
          <w:rFonts w:cs="Arial"/>
        </w:rPr>
        <w:t>mortality tables adopted for this valuation</w:t>
      </w:r>
      <w:r w:rsidR="0010456F">
        <w:rPr>
          <w:rFonts w:cs="Arial"/>
        </w:rPr>
        <w:t>, along with sample life expectancies,</w:t>
      </w:r>
      <w:r w:rsidRPr="009F1287">
        <w:rPr>
          <w:rFonts w:cs="Arial"/>
        </w:rPr>
        <w:t xml:space="preserve"> are </w:t>
      </w:r>
      <w:r w:rsidR="0010456F">
        <w:rPr>
          <w:rFonts w:cs="Arial"/>
        </w:rPr>
        <w:t>set out below</w:t>
      </w:r>
      <w:r w:rsidRPr="009F1287">
        <w:rPr>
          <w:rFonts w:cs="Arial"/>
        </w:rPr>
        <w:t>:</w:t>
      </w:r>
    </w:p>
    <w:p w14:paraId="623666C7" w14:textId="77777777" w:rsidR="00D04D1C" w:rsidRDefault="00D04D1C" w:rsidP="00D04D1C">
      <w:pPr>
        <w:rPr>
          <w:rFonts w:cs="Arial"/>
        </w:rPr>
      </w:pPr>
    </w:p>
    <w:tbl>
      <w:tblPr>
        <w:tblW w:w="0" w:type="auto"/>
        <w:tblInd w:w="72" w:type="dxa"/>
        <w:tblBorders>
          <w:top w:val="single" w:sz="8" w:space="0" w:color="002E63"/>
          <w:bottom w:val="single" w:sz="4" w:space="0" w:color="auto"/>
          <w:insideH w:val="single" w:sz="4" w:space="0" w:color="auto"/>
        </w:tblBorders>
        <w:tblCellMar>
          <w:top w:w="57" w:type="dxa"/>
          <w:left w:w="72" w:type="dxa"/>
          <w:bottom w:w="57" w:type="dxa"/>
          <w:right w:w="72" w:type="dxa"/>
        </w:tblCellMar>
        <w:tblLook w:val="01E0" w:firstRow="1" w:lastRow="1" w:firstColumn="1" w:lastColumn="1" w:noHBand="0" w:noVBand="0"/>
      </w:tblPr>
      <w:tblGrid>
        <w:gridCol w:w="2357"/>
        <w:gridCol w:w="1741"/>
        <w:gridCol w:w="2085"/>
        <w:gridCol w:w="2507"/>
      </w:tblGrid>
      <w:tr w:rsidR="00D04D1C" w:rsidRPr="00FF4575" w14:paraId="00A8F86C" w14:textId="77777777" w:rsidTr="00F524FA">
        <w:trPr>
          <w:cantSplit/>
          <w:tblHeader/>
        </w:trPr>
        <w:tc>
          <w:tcPr>
            <w:tcW w:w="0" w:type="auto"/>
            <w:tcBorders>
              <w:top w:val="single" w:sz="12" w:space="0" w:color="auto"/>
              <w:bottom w:val="single" w:sz="12" w:space="0" w:color="auto"/>
            </w:tcBorders>
            <w:shd w:val="clear" w:color="auto" w:fill="auto"/>
            <w:vAlign w:val="bottom"/>
          </w:tcPr>
          <w:p w14:paraId="5C11DE79" w14:textId="77777777" w:rsidR="00D04D1C" w:rsidRPr="00D50BFF" w:rsidRDefault="00D04D1C" w:rsidP="00F524FA">
            <w:pPr>
              <w:pStyle w:val="TableHeadingText"/>
              <w:rPr>
                <w:sz w:val="20"/>
              </w:rPr>
            </w:pPr>
          </w:p>
        </w:tc>
        <w:tc>
          <w:tcPr>
            <w:tcW w:w="0" w:type="auto"/>
            <w:tcBorders>
              <w:top w:val="single" w:sz="12" w:space="0" w:color="auto"/>
              <w:bottom w:val="single" w:sz="12" w:space="0" w:color="auto"/>
            </w:tcBorders>
            <w:shd w:val="clear" w:color="auto" w:fill="auto"/>
            <w:vAlign w:val="bottom"/>
          </w:tcPr>
          <w:p w14:paraId="34909D4D" w14:textId="77777777" w:rsidR="00D04D1C" w:rsidRPr="00D50BFF" w:rsidRDefault="00D04D1C" w:rsidP="00F524FA">
            <w:pPr>
              <w:pStyle w:val="TableHeadingText"/>
              <w:rPr>
                <w:sz w:val="20"/>
              </w:rPr>
            </w:pPr>
            <w:r w:rsidRPr="00D50BFF">
              <w:rPr>
                <w:sz w:val="20"/>
              </w:rPr>
              <w:t>Base Table</w:t>
            </w:r>
          </w:p>
        </w:tc>
        <w:tc>
          <w:tcPr>
            <w:tcW w:w="0" w:type="auto"/>
            <w:tcBorders>
              <w:top w:val="single" w:sz="12" w:space="0" w:color="auto"/>
              <w:bottom w:val="single" w:sz="12" w:space="0" w:color="auto"/>
            </w:tcBorders>
          </w:tcPr>
          <w:p w14:paraId="2AEF688B" w14:textId="77777777" w:rsidR="00D04D1C" w:rsidRPr="00D50BFF" w:rsidRDefault="00D04D1C" w:rsidP="00F524FA">
            <w:pPr>
              <w:pStyle w:val="TableHeadingText"/>
              <w:rPr>
                <w:sz w:val="20"/>
              </w:rPr>
            </w:pPr>
            <w:r w:rsidRPr="00D50BFF">
              <w:rPr>
                <w:sz w:val="20"/>
              </w:rPr>
              <w:t>Improvements</w:t>
            </w:r>
          </w:p>
        </w:tc>
        <w:tc>
          <w:tcPr>
            <w:tcW w:w="0" w:type="auto"/>
            <w:tcBorders>
              <w:top w:val="single" w:sz="12" w:space="0" w:color="auto"/>
              <w:bottom w:val="single" w:sz="12" w:space="0" w:color="auto"/>
            </w:tcBorders>
          </w:tcPr>
          <w:p w14:paraId="3D8A609B" w14:textId="77777777" w:rsidR="00D04D1C" w:rsidRPr="00D50BFF" w:rsidRDefault="00D04D1C" w:rsidP="00F524FA">
            <w:pPr>
              <w:pStyle w:val="TableHeadingText"/>
              <w:rPr>
                <w:sz w:val="20"/>
              </w:rPr>
            </w:pPr>
            <w:r w:rsidRPr="00D50BFF">
              <w:rPr>
                <w:sz w:val="20"/>
              </w:rPr>
              <w:t>Adjustment (M / F)</w:t>
            </w:r>
          </w:p>
        </w:tc>
      </w:tr>
      <w:tr w:rsidR="00D04D1C" w:rsidRPr="00FF4575" w14:paraId="1A067D04" w14:textId="77777777" w:rsidTr="00F524FA">
        <w:trPr>
          <w:cantSplit/>
        </w:trPr>
        <w:tc>
          <w:tcPr>
            <w:tcW w:w="0" w:type="auto"/>
            <w:tcBorders>
              <w:top w:val="single" w:sz="12" w:space="0" w:color="auto"/>
              <w:bottom w:val="single" w:sz="8" w:space="0" w:color="auto"/>
            </w:tcBorders>
            <w:shd w:val="clear" w:color="auto" w:fill="auto"/>
            <w:vAlign w:val="center"/>
          </w:tcPr>
          <w:p w14:paraId="6D4F001A" w14:textId="77777777" w:rsidR="00D04D1C" w:rsidRPr="00663623" w:rsidRDefault="00D04D1C" w:rsidP="00F524FA">
            <w:pPr>
              <w:pStyle w:val="TableText0"/>
              <w:rPr>
                <w:sz w:val="20"/>
              </w:rPr>
            </w:pPr>
            <w:r>
              <w:rPr>
                <w:sz w:val="20"/>
              </w:rPr>
              <w:t>Current pensioners:</w:t>
            </w:r>
          </w:p>
        </w:tc>
        <w:tc>
          <w:tcPr>
            <w:tcW w:w="0" w:type="auto"/>
            <w:tcBorders>
              <w:top w:val="single" w:sz="12" w:space="0" w:color="auto"/>
              <w:bottom w:val="single" w:sz="8" w:space="0" w:color="auto"/>
            </w:tcBorders>
            <w:shd w:val="clear" w:color="auto" w:fill="auto"/>
            <w:vAlign w:val="center"/>
          </w:tcPr>
          <w:p w14:paraId="0AC3E07B" w14:textId="77777777" w:rsidR="00D04D1C" w:rsidRPr="00663623" w:rsidRDefault="00D04D1C" w:rsidP="00F524FA">
            <w:pPr>
              <w:pStyle w:val="TableText0"/>
              <w:rPr>
                <w:sz w:val="20"/>
              </w:rPr>
            </w:pPr>
          </w:p>
        </w:tc>
        <w:tc>
          <w:tcPr>
            <w:tcW w:w="0" w:type="auto"/>
            <w:tcBorders>
              <w:top w:val="single" w:sz="12" w:space="0" w:color="auto"/>
              <w:bottom w:val="single" w:sz="8" w:space="0" w:color="auto"/>
            </w:tcBorders>
          </w:tcPr>
          <w:p w14:paraId="17879771" w14:textId="77777777" w:rsidR="00D04D1C" w:rsidRPr="00663623" w:rsidRDefault="00D04D1C" w:rsidP="00F524FA">
            <w:pPr>
              <w:pStyle w:val="TableText0"/>
              <w:rPr>
                <w:sz w:val="20"/>
              </w:rPr>
            </w:pPr>
          </w:p>
        </w:tc>
        <w:tc>
          <w:tcPr>
            <w:tcW w:w="0" w:type="auto"/>
            <w:tcBorders>
              <w:top w:val="single" w:sz="12" w:space="0" w:color="auto"/>
              <w:bottom w:val="single" w:sz="8" w:space="0" w:color="auto"/>
            </w:tcBorders>
          </w:tcPr>
          <w:p w14:paraId="47C98BD6" w14:textId="77777777" w:rsidR="00D04D1C" w:rsidRPr="00663623" w:rsidRDefault="00D04D1C" w:rsidP="00F524FA">
            <w:pPr>
              <w:pStyle w:val="TableText0"/>
              <w:rPr>
                <w:noProof/>
                <w:sz w:val="20"/>
              </w:rPr>
            </w:pPr>
          </w:p>
        </w:tc>
      </w:tr>
      <w:tr w:rsidR="00D04D1C" w:rsidRPr="00FF4575" w14:paraId="041C57EF" w14:textId="77777777" w:rsidTr="00F524FA">
        <w:trPr>
          <w:cantSplit/>
        </w:trPr>
        <w:tc>
          <w:tcPr>
            <w:tcW w:w="0" w:type="auto"/>
            <w:tcBorders>
              <w:top w:val="single" w:sz="8" w:space="0" w:color="auto"/>
            </w:tcBorders>
            <w:shd w:val="clear" w:color="auto" w:fill="auto"/>
            <w:vAlign w:val="center"/>
          </w:tcPr>
          <w:p w14:paraId="05F6C7FE" w14:textId="77777777" w:rsidR="00D04D1C" w:rsidRPr="00663623" w:rsidRDefault="00D04D1C" w:rsidP="00F524FA">
            <w:pPr>
              <w:pStyle w:val="TableText0"/>
              <w:rPr>
                <w:sz w:val="20"/>
              </w:rPr>
            </w:pPr>
            <w:r w:rsidRPr="00663623">
              <w:rPr>
                <w:sz w:val="20"/>
              </w:rPr>
              <w:t>Normal health</w:t>
            </w:r>
          </w:p>
        </w:tc>
        <w:tc>
          <w:tcPr>
            <w:tcW w:w="0" w:type="auto"/>
            <w:tcBorders>
              <w:top w:val="single" w:sz="8" w:space="0" w:color="auto"/>
            </w:tcBorders>
            <w:shd w:val="clear" w:color="auto" w:fill="auto"/>
            <w:vAlign w:val="center"/>
          </w:tcPr>
          <w:p w14:paraId="6762FDF7" w14:textId="77777777" w:rsidR="00D04D1C" w:rsidRPr="00663623" w:rsidRDefault="00D04D1C" w:rsidP="00F524FA">
            <w:pPr>
              <w:pStyle w:val="TableText0"/>
              <w:rPr>
                <w:sz w:val="20"/>
              </w:rPr>
            </w:pPr>
            <w:r>
              <w:rPr>
                <w:sz w:val="20"/>
              </w:rPr>
              <w:t>S2</w:t>
            </w:r>
            <w:r w:rsidRPr="00663623">
              <w:rPr>
                <w:sz w:val="20"/>
              </w:rPr>
              <w:t xml:space="preserve">PA </w:t>
            </w:r>
          </w:p>
        </w:tc>
        <w:tc>
          <w:tcPr>
            <w:tcW w:w="0" w:type="auto"/>
            <w:tcBorders>
              <w:top w:val="single" w:sz="8" w:space="0" w:color="auto"/>
            </w:tcBorders>
          </w:tcPr>
          <w:p w14:paraId="5BB5CA64" w14:textId="77777777" w:rsidR="00D04D1C" w:rsidRPr="00663623" w:rsidRDefault="00D04D1C" w:rsidP="00F524FA">
            <w:pPr>
              <w:pStyle w:val="TableText0"/>
              <w:rPr>
                <w:sz w:val="20"/>
              </w:rPr>
            </w:pPr>
            <w:r w:rsidRPr="00663623">
              <w:rPr>
                <w:sz w:val="20"/>
              </w:rPr>
              <w:t>CMI_201</w:t>
            </w:r>
            <w:r>
              <w:rPr>
                <w:sz w:val="20"/>
              </w:rPr>
              <w:t>5</w:t>
            </w:r>
            <w:r w:rsidRPr="00663623">
              <w:rPr>
                <w:sz w:val="20"/>
              </w:rPr>
              <w:t xml:space="preserve"> [1.5%]</w:t>
            </w:r>
          </w:p>
        </w:tc>
        <w:tc>
          <w:tcPr>
            <w:tcW w:w="0" w:type="auto"/>
            <w:tcBorders>
              <w:top w:val="single" w:sz="8" w:space="0" w:color="auto"/>
            </w:tcBorders>
          </w:tcPr>
          <w:p w14:paraId="68223A1D" w14:textId="4C88EFA9" w:rsidR="00D04D1C" w:rsidRPr="00663623" w:rsidRDefault="00D04D1C" w:rsidP="00D04D1C">
            <w:pPr>
              <w:pStyle w:val="TableText0"/>
              <w:rPr>
                <w:sz w:val="20"/>
              </w:rPr>
            </w:pPr>
            <w:r>
              <w:rPr>
                <w:noProof/>
                <w:sz w:val="20"/>
              </w:rPr>
              <w:t>99</w:t>
            </w:r>
            <w:r w:rsidRPr="00663623">
              <w:rPr>
                <w:sz w:val="20"/>
              </w:rPr>
              <w:t xml:space="preserve">% / </w:t>
            </w:r>
            <w:r>
              <w:rPr>
                <w:noProof/>
                <w:sz w:val="20"/>
              </w:rPr>
              <w:t>93</w:t>
            </w:r>
            <w:r w:rsidRPr="00663623">
              <w:rPr>
                <w:sz w:val="20"/>
              </w:rPr>
              <w:t>%</w:t>
            </w:r>
          </w:p>
        </w:tc>
      </w:tr>
      <w:tr w:rsidR="00D04D1C" w:rsidRPr="00FF4575" w14:paraId="173FF877" w14:textId="77777777" w:rsidTr="00F524FA">
        <w:trPr>
          <w:cantSplit/>
        </w:trPr>
        <w:tc>
          <w:tcPr>
            <w:tcW w:w="0" w:type="auto"/>
            <w:shd w:val="clear" w:color="auto" w:fill="auto"/>
            <w:vAlign w:val="center"/>
          </w:tcPr>
          <w:p w14:paraId="4E6626CB" w14:textId="77777777" w:rsidR="00D04D1C" w:rsidRPr="00663623" w:rsidRDefault="00D04D1C" w:rsidP="00F524FA">
            <w:pPr>
              <w:pStyle w:val="TableText0"/>
              <w:rPr>
                <w:sz w:val="20"/>
              </w:rPr>
            </w:pPr>
            <w:r w:rsidRPr="00663623">
              <w:rPr>
                <w:sz w:val="20"/>
              </w:rPr>
              <w:t>Ill-health</w:t>
            </w:r>
          </w:p>
        </w:tc>
        <w:tc>
          <w:tcPr>
            <w:tcW w:w="0" w:type="auto"/>
            <w:shd w:val="clear" w:color="auto" w:fill="auto"/>
            <w:vAlign w:val="center"/>
          </w:tcPr>
          <w:p w14:paraId="3FEB11B6" w14:textId="77777777" w:rsidR="00D04D1C" w:rsidRPr="00663623" w:rsidRDefault="00D04D1C" w:rsidP="00F524FA">
            <w:pPr>
              <w:pStyle w:val="TableText0"/>
              <w:rPr>
                <w:sz w:val="20"/>
              </w:rPr>
            </w:pPr>
            <w:r>
              <w:rPr>
                <w:sz w:val="20"/>
              </w:rPr>
              <w:t>S2</w:t>
            </w:r>
            <w:r w:rsidRPr="00663623">
              <w:rPr>
                <w:sz w:val="20"/>
              </w:rPr>
              <w:t xml:space="preserve">PA </w:t>
            </w:r>
          </w:p>
        </w:tc>
        <w:tc>
          <w:tcPr>
            <w:tcW w:w="0" w:type="auto"/>
          </w:tcPr>
          <w:p w14:paraId="38135666" w14:textId="77777777" w:rsidR="00D04D1C" w:rsidRPr="00663623" w:rsidRDefault="00D04D1C" w:rsidP="00F524FA">
            <w:pPr>
              <w:pStyle w:val="TableText0"/>
              <w:rPr>
                <w:sz w:val="20"/>
              </w:rPr>
            </w:pPr>
            <w:r>
              <w:rPr>
                <w:sz w:val="20"/>
              </w:rPr>
              <w:t>CMI_2015</w:t>
            </w:r>
            <w:r w:rsidRPr="00663623">
              <w:rPr>
                <w:sz w:val="20"/>
              </w:rPr>
              <w:t xml:space="preserve"> [1.5%]</w:t>
            </w:r>
          </w:p>
        </w:tc>
        <w:tc>
          <w:tcPr>
            <w:tcW w:w="0" w:type="auto"/>
          </w:tcPr>
          <w:p w14:paraId="58E65461" w14:textId="77777777" w:rsidR="00D04D1C" w:rsidRPr="00663623" w:rsidRDefault="00D04D1C" w:rsidP="00F524FA">
            <w:pPr>
              <w:pStyle w:val="TableText0"/>
              <w:rPr>
                <w:sz w:val="20"/>
              </w:rPr>
            </w:pPr>
            <w:r w:rsidRPr="00663623">
              <w:rPr>
                <w:sz w:val="20"/>
              </w:rPr>
              <w:t>Normal health + 3 years</w:t>
            </w:r>
          </w:p>
        </w:tc>
      </w:tr>
      <w:tr w:rsidR="00D04D1C" w:rsidRPr="00FF4575" w14:paraId="117C432F" w14:textId="77777777" w:rsidTr="00F524FA">
        <w:trPr>
          <w:cantSplit/>
        </w:trPr>
        <w:tc>
          <w:tcPr>
            <w:tcW w:w="0" w:type="auto"/>
            <w:shd w:val="clear" w:color="auto" w:fill="auto"/>
            <w:vAlign w:val="center"/>
          </w:tcPr>
          <w:p w14:paraId="0C2B9DF0" w14:textId="77777777" w:rsidR="00D04D1C" w:rsidRPr="00663623" w:rsidRDefault="00D04D1C" w:rsidP="00F524FA">
            <w:pPr>
              <w:pStyle w:val="TableText0"/>
              <w:rPr>
                <w:sz w:val="20"/>
              </w:rPr>
            </w:pPr>
            <w:r w:rsidRPr="00663623">
              <w:rPr>
                <w:sz w:val="20"/>
              </w:rPr>
              <w:t>Dependants</w:t>
            </w:r>
          </w:p>
        </w:tc>
        <w:tc>
          <w:tcPr>
            <w:tcW w:w="0" w:type="auto"/>
            <w:shd w:val="clear" w:color="auto" w:fill="auto"/>
            <w:vAlign w:val="center"/>
          </w:tcPr>
          <w:p w14:paraId="0056B637" w14:textId="77777777" w:rsidR="00D04D1C" w:rsidRPr="00663623" w:rsidRDefault="00D04D1C" w:rsidP="00F524FA">
            <w:pPr>
              <w:pStyle w:val="TableText0"/>
              <w:rPr>
                <w:sz w:val="20"/>
              </w:rPr>
            </w:pPr>
            <w:r>
              <w:rPr>
                <w:sz w:val="20"/>
              </w:rPr>
              <w:t>S2PMA / S2</w:t>
            </w:r>
            <w:r w:rsidRPr="00663623">
              <w:rPr>
                <w:sz w:val="20"/>
              </w:rPr>
              <w:t>DFA</w:t>
            </w:r>
          </w:p>
        </w:tc>
        <w:tc>
          <w:tcPr>
            <w:tcW w:w="0" w:type="auto"/>
          </w:tcPr>
          <w:p w14:paraId="19990E09" w14:textId="77777777" w:rsidR="00D04D1C" w:rsidRPr="00663623" w:rsidRDefault="00D04D1C" w:rsidP="00F524FA">
            <w:pPr>
              <w:pStyle w:val="TableText0"/>
              <w:rPr>
                <w:sz w:val="20"/>
              </w:rPr>
            </w:pPr>
            <w:r>
              <w:rPr>
                <w:sz w:val="20"/>
              </w:rPr>
              <w:t>CMI_2015</w:t>
            </w:r>
            <w:r w:rsidRPr="00663623">
              <w:rPr>
                <w:sz w:val="20"/>
              </w:rPr>
              <w:t xml:space="preserve"> [1.5%]</w:t>
            </w:r>
          </w:p>
        </w:tc>
        <w:tc>
          <w:tcPr>
            <w:tcW w:w="0" w:type="auto"/>
          </w:tcPr>
          <w:p w14:paraId="1FBC2FA3" w14:textId="7DFBA6DB" w:rsidR="00D04D1C" w:rsidRPr="00663623" w:rsidRDefault="00D04D1C" w:rsidP="00D04D1C">
            <w:pPr>
              <w:pStyle w:val="TableText0"/>
              <w:rPr>
                <w:sz w:val="20"/>
              </w:rPr>
            </w:pPr>
            <w:r>
              <w:rPr>
                <w:noProof/>
                <w:sz w:val="20"/>
              </w:rPr>
              <w:t>122</w:t>
            </w:r>
            <w:r w:rsidRPr="00663623">
              <w:rPr>
                <w:sz w:val="20"/>
              </w:rPr>
              <w:t xml:space="preserve">% / </w:t>
            </w:r>
            <w:r>
              <w:rPr>
                <w:noProof/>
                <w:sz w:val="20"/>
              </w:rPr>
              <w:t>106</w:t>
            </w:r>
            <w:r w:rsidRPr="00663623">
              <w:rPr>
                <w:sz w:val="20"/>
              </w:rPr>
              <w:t>%</w:t>
            </w:r>
          </w:p>
        </w:tc>
      </w:tr>
      <w:tr w:rsidR="00D04D1C" w:rsidRPr="00FF4575" w14:paraId="50DA8A9E" w14:textId="77777777" w:rsidTr="00F524FA">
        <w:trPr>
          <w:cantSplit/>
        </w:trPr>
        <w:tc>
          <w:tcPr>
            <w:tcW w:w="0" w:type="auto"/>
            <w:shd w:val="clear" w:color="auto" w:fill="auto"/>
            <w:vAlign w:val="center"/>
          </w:tcPr>
          <w:p w14:paraId="672A2C40" w14:textId="77777777" w:rsidR="00D04D1C" w:rsidRPr="00663623" w:rsidRDefault="00D04D1C" w:rsidP="00F524FA">
            <w:pPr>
              <w:pStyle w:val="TableText0"/>
              <w:rPr>
                <w:sz w:val="20"/>
              </w:rPr>
            </w:pPr>
            <w:r w:rsidRPr="00663623">
              <w:rPr>
                <w:sz w:val="20"/>
              </w:rPr>
              <w:t>Future dependants</w:t>
            </w:r>
          </w:p>
        </w:tc>
        <w:tc>
          <w:tcPr>
            <w:tcW w:w="0" w:type="auto"/>
            <w:shd w:val="clear" w:color="auto" w:fill="auto"/>
            <w:vAlign w:val="center"/>
          </w:tcPr>
          <w:p w14:paraId="57F08CB5" w14:textId="77777777" w:rsidR="00D04D1C" w:rsidRPr="00663623" w:rsidRDefault="00D04D1C" w:rsidP="00F524FA">
            <w:pPr>
              <w:pStyle w:val="TableText0"/>
              <w:rPr>
                <w:sz w:val="20"/>
              </w:rPr>
            </w:pPr>
            <w:r>
              <w:rPr>
                <w:sz w:val="20"/>
              </w:rPr>
              <w:t>S2PMA / S2</w:t>
            </w:r>
            <w:r w:rsidRPr="00663623">
              <w:rPr>
                <w:sz w:val="20"/>
              </w:rPr>
              <w:t>DFA</w:t>
            </w:r>
          </w:p>
        </w:tc>
        <w:tc>
          <w:tcPr>
            <w:tcW w:w="0" w:type="auto"/>
          </w:tcPr>
          <w:p w14:paraId="4252E674" w14:textId="77777777" w:rsidR="00D04D1C" w:rsidRPr="00663623" w:rsidRDefault="00D04D1C" w:rsidP="00F524FA">
            <w:pPr>
              <w:pStyle w:val="TableText0"/>
              <w:rPr>
                <w:sz w:val="20"/>
              </w:rPr>
            </w:pPr>
            <w:r>
              <w:rPr>
                <w:sz w:val="20"/>
              </w:rPr>
              <w:t>CMI_2015</w:t>
            </w:r>
            <w:r w:rsidRPr="00663623">
              <w:rPr>
                <w:sz w:val="20"/>
              </w:rPr>
              <w:t xml:space="preserve"> [1.5%]</w:t>
            </w:r>
          </w:p>
        </w:tc>
        <w:tc>
          <w:tcPr>
            <w:tcW w:w="0" w:type="auto"/>
          </w:tcPr>
          <w:p w14:paraId="015FBCCC" w14:textId="13EFEC7A" w:rsidR="00D04D1C" w:rsidRPr="00663623" w:rsidRDefault="00D04D1C" w:rsidP="00D04D1C">
            <w:pPr>
              <w:pStyle w:val="TableText0"/>
              <w:rPr>
                <w:sz w:val="20"/>
              </w:rPr>
            </w:pPr>
            <w:r>
              <w:rPr>
                <w:noProof/>
                <w:sz w:val="20"/>
              </w:rPr>
              <w:t>116</w:t>
            </w:r>
            <w:r w:rsidRPr="00663623">
              <w:rPr>
                <w:sz w:val="20"/>
              </w:rPr>
              <w:t xml:space="preserve">% / </w:t>
            </w:r>
            <w:r>
              <w:rPr>
                <w:noProof/>
                <w:sz w:val="20"/>
              </w:rPr>
              <w:t>113%</w:t>
            </w:r>
          </w:p>
        </w:tc>
      </w:tr>
      <w:tr w:rsidR="00D04D1C" w:rsidRPr="00FF4575" w14:paraId="5E4EEF7D" w14:textId="77777777" w:rsidTr="00F524FA">
        <w:trPr>
          <w:cantSplit/>
        </w:trPr>
        <w:tc>
          <w:tcPr>
            <w:tcW w:w="0" w:type="auto"/>
            <w:shd w:val="clear" w:color="auto" w:fill="auto"/>
            <w:vAlign w:val="center"/>
          </w:tcPr>
          <w:p w14:paraId="6B04A531" w14:textId="77777777" w:rsidR="00D04D1C" w:rsidRPr="00663623" w:rsidRDefault="00D04D1C" w:rsidP="00F524FA">
            <w:pPr>
              <w:pStyle w:val="TableText0"/>
              <w:rPr>
                <w:sz w:val="20"/>
              </w:rPr>
            </w:pPr>
            <w:r>
              <w:rPr>
                <w:sz w:val="20"/>
              </w:rPr>
              <w:t>Current active / deferred:</w:t>
            </w:r>
          </w:p>
        </w:tc>
        <w:tc>
          <w:tcPr>
            <w:tcW w:w="0" w:type="auto"/>
            <w:shd w:val="clear" w:color="auto" w:fill="auto"/>
            <w:vAlign w:val="center"/>
          </w:tcPr>
          <w:p w14:paraId="2C422D48" w14:textId="77777777" w:rsidR="00D04D1C" w:rsidRPr="00663623" w:rsidRDefault="00D04D1C" w:rsidP="00F524FA">
            <w:pPr>
              <w:pStyle w:val="TableText0"/>
              <w:rPr>
                <w:sz w:val="20"/>
              </w:rPr>
            </w:pPr>
          </w:p>
        </w:tc>
        <w:tc>
          <w:tcPr>
            <w:tcW w:w="0" w:type="auto"/>
          </w:tcPr>
          <w:p w14:paraId="01CFECF7" w14:textId="77777777" w:rsidR="00D04D1C" w:rsidRPr="00663623" w:rsidRDefault="00D04D1C" w:rsidP="00F524FA">
            <w:pPr>
              <w:pStyle w:val="TableText0"/>
              <w:rPr>
                <w:sz w:val="20"/>
              </w:rPr>
            </w:pPr>
          </w:p>
        </w:tc>
        <w:tc>
          <w:tcPr>
            <w:tcW w:w="0" w:type="auto"/>
          </w:tcPr>
          <w:p w14:paraId="20C26FFD" w14:textId="77777777" w:rsidR="00D04D1C" w:rsidRPr="00663623" w:rsidRDefault="00D04D1C" w:rsidP="00F524FA">
            <w:pPr>
              <w:pStyle w:val="TableText0"/>
              <w:rPr>
                <w:noProof/>
                <w:sz w:val="20"/>
              </w:rPr>
            </w:pPr>
          </w:p>
        </w:tc>
      </w:tr>
      <w:tr w:rsidR="00D04D1C" w:rsidRPr="00FF4575" w14:paraId="395A5810" w14:textId="77777777" w:rsidTr="00F524FA">
        <w:trPr>
          <w:cantSplit/>
        </w:trPr>
        <w:tc>
          <w:tcPr>
            <w:tcW w:w="0" w:type="auto"/>
            <w:shd w:val="clear" w:color="auto" w:fill="auto"/>
            <w:vAlign w:val="center"/>
          </w:tcPr>
          <w:p w14:paraId="15467032" w14:textId="77777777" w:rsidR="00D04D1C" w:rsidRPr="00663623" w:rsidRDefault="00D04D1C" w:rsidP="00F524FA">
            <w:pPr>
              <w:pStyle w:val="TableText0"/>
              <w:rPr>
                <w:sz w:val="20"/>
              </w:rPr>
            </w:pPr>
            <w:r w:rsidRPr="00663623">
              <w:rPr>
                <w:sz w:val="20"/>
              </w:rPr>
              <w:t>Active normal health</w:t>
            </w:r>
          </w:p>
        </w:tc>
        <w:tc>
          <w:tcPr>
            <w:tcW w:w="0" w:type="auto"/>
            <w:shd w:val="clear" w:color="auto" w:fill="auto"/>
            <w:vAlign w:val="center"/>
          </w:tcPr>
          <w:p w14:paraId="4A4AE337" w14:textId="77777777" w:rsidR="00D04D1C" w:rsidRPr="00663623" w:rsidRDefault="00D04D1C" w:rsidP="00F524FA">
            <w:pPr>
              <w:pStyle w:val="TableText0"/>
              <w:rPr>
                <w:sz w:val="20"/>
              </w:rPr>
            </w:pPr>
            <w:r>
              <w:rPr>
                <w:sz w:val="20"/>
              </w:rPr>
              <w:t>S2</w:t>
            </w:r>
            <w:r w:rsidRPr="00663623">
              <w:rPr>
                <w:sz w:val="20"/>
              </w:rPr>
              <w:t xml:space="preserve">PA </w:t>
            </w:r>
          </w:p>
        </w:tc>
        <w:tc>
          <w:tcPr>
            <w:tcW w:w="0" w:type="auto"/>
          </w:tcPr>
          <w:p w14:paraId="35FB7F89" w14:textId="77777777" w:rsidR="00D04D1C" w:rsidRPr="00663623" w:rsidRDefault="00D04D1C" w:rsidP="00F524FA">
            <w:pPr>
              <w:pStyle w:val="TableText0"/>
              <w:rPr>
                <w:sz w:val="20"/>
              </w:rPr>
            </w:pPr>
            <w:r>
              <w:rPr>
                <w:sz w:val="20"/>
              </w:rPr>
              <w:t>CMI_2015</w:t>
            </w:r>
            <w:r w:rsidRPr="00663623">
              <w:rPr>
                <w:sz w:val="20"/>
              </w:rPr>
              <w:t xml:space="preserve"> [1.5%]</w:t>
            </w:r>
          </w:p>
        </w:tc>
        <w:tc>
          <w:tcPr>
            <w:tcW w:w="0" w:type="auto"/>
          </w:tcPr>
          <w:p w14:paraId="0C587A59" w14:textId="05858F0C" w:rsidR="00D04D1C" w:rsidRPr="00663623" w:rsidRDefault="00D04D1C" w:rsidP="00D04D1C">
            <w:pPr>
              <w:pStyle w:val="TableText0"/>
              <w:rPr>
                <w:sz w:val="20"/>
              </w:rPr>
            </w:pPr>
            <w:r>
              <w:rPr>
                <w:noProof/>
                <w:sz w:val="20"/>
              </w:rPr>
              <w:t>98</w:t>
            </w:r>
            <w:r w:rsidRPr="00663623">
              <w:rPr>
                <w:sz w:val="20"/>
              </w:rPr>
              <w:t xml:space="preserve">% / </w:t>
            </w:r>
            <w:r>
              <w:rPr>
                <w:noProof/>
                <w:sz w:val="20"/>
              </w:rPr>
              <w:t>89</w:t>
            </w:r>
            <w:r w:rsidRPr="00663623">
              <w:rPr>
                <w:sz w:val="20"/>
              </w:rPr>
              <w:t>%</w:t>
            </w:r>
          </w:p>
        </w:tc>
      </w:tr>
      <w:tr w:rsidR="00D04D1C" w:rsidRPr="00FF4575" w14:paraId="2327E652" w14:textId="77777777" w:rsidTr="00F524FA">
        <w:trPr>
          <w:cantSplit/>
        </w:trPr>
        <w:tc>
          <w:tcPr>
            <w:tcW w:w="0" w:type="auto"/>
            <w:shd w:val="clear" w:color="auto" w:fill="auto"/>
            <w:vAlign w:val="center"/>
          </w:tcPr>
          <w:p w14:paraId="59F12C56" w14:textId="77777777" w:rsidR="00D04D1C" w:rsidRPr="00663623" w:rsidRDefault="00D04D1C" w:rsidP="00F524FA">
            <w:pPr>
              <w:pStyle w:val="TableText0"/>
              <w:rPr>
                <w:sz w:val="20"/>
              </w:rPr>
            </w:pPr>
            <w:r w:rsidRPr="00663623">
              <w:rPr>
                <w:sz w:val="20"/>
              </w:rPr>
              <w:t xml:space="preserve">Active ill-health </w:t>
            </w:r>
          </w:p>
        </w:tc>
        <w:tc>
          <w:tcPr>
            <w:tcW w:w="0" w:type="auto"/>
            <w:shd w:val="clear" w:color="auto" w:fill="auto"/>
            <w:vAlign w:val="center"/>
          </w:tcPr>
          <w:p w14:paraId="143EC6DF" w14:textId="77777777" w:rsidR="00D04D1C" w:rsidRPr="00663623" w:rsidRDefault="00D04D1C" w:rsidP="00F524FA">
            <w:pPr>
              <w:pStyle w:val="TableText0"/>
              <w:rPr>
                <w:sz w:val="20"/>
              </w:rPr>
            </w:pPr>
            <w:r>
              <w:rPr>
                <w:sz w:val="20"/>
              </w:rPr>
              <w:t>S2</w:t>
            </w:r>
            <w:r w:rsidRPr="00663623">
              <w:rPr>
                <w:sz w:val="20"/>
              </w:rPr>
              <w:t xml:space="preserve">PA </w:t>
            </w:r>
          </w:p>
        </w:tc>
        <w:tc>
          <w:tcPr>
            <w:tcW w:w="0" w:type="auto"/>
          </w:tcPr>
          <w:p w14:paraId="47601481" w14:textId="77777777" w:rsidR="00D04D1C" w:rsidRPr="00663623" w:rsidRDefault="00D04D1C" w:rsidP="00F524FA">
            <w:pPr>
              <w:pStyle w:val="TableText0"/>
              <w:rPr>
                <w:sz w:val="20"/>
              </w:rPr>
            </w:pPr>
            <w:r>
              <w:rPr>
                <w:sz w:val="20"/>
              </w:rPr>
              <w:t>CMI_2015</w:t>
            </w:r>
            <w:r w:rsidRPr="00663623">
              <w:rPr>
                <w:sz w:val="20"/>
              </w:rPr>
              <w:t xml:space="preserve"> [1.5%]</w:t>
            </w:r>
          </w:p>
        </w:tc>
        <w:tc>
          <w:tcPr>
            <w:tcW w:w="0" w:type="auto"/>
          </w:tcPr>
          <w:p w14:paraId="4BFF7B3E" w14:textId="77777777" w:rsidR="00D04D1C" w:rsidRPr="00663623" w:rsidRDefault="00D04D1C" w:rsidP="00F524FA">
            <w:pPr>
              <w:pStyle w:val="TableText0"/>
              <w:rPr>
                <w:sz w:val="20"/>
              </w:rPr>
            </w:pPr>
            <w:r w:rsidRPr="00663623">
              <w:rPr>
                <w:sz w:val="20"/>
              </w:rPr>
              <w:t>Normal health + 4 years</w:t>
            </w:r>
          </w:p>
        </w:tc>
      </w:tr>
      <w:tr w:rsidR="00D04D1C" w:rsidRPr="00FF4575" w14:paraId="7BB90D6E" w14:textId="77777777" w:rsidTr="00F524FA">
        <w:trPr>
          <w:cantSplit/>
        </w:trPr>
        <w:tc>
          <w:tcPr>
            <w:tcW w:w="0" w:type="auto"/>
            <w:shd w:val="clear" w:color="auto" w:fill="auto"/>
            <w:vAlign w:val="center"/>
          </w:tcPr>
          <w:p w14:paraId="4CBBA7BD" w14:textId="77777777" w:rsidR="00D04D1C" w:rsidRPr="00663623" w:rsidRDefault="00D04D1C" w:rsidP="00F524FA">
            <w:pPr>
              <w:pStyle w:val="TableText0"/>
              <w:rPr>
                <w:sz w:val="20"/>
              </w:rPr>
            </w:pPr>
            <w:r w:rsidRPr="00663623">
              <w:rPr>
                <w:sz w:val="20"/>
              </w:rPr>
              <w:t>Deferred</w:t>
            </w:r>
          </w:p>
        </w:tc>
        <w:tc>
          <w:tcPr>
            <w:tcW w:w="0" w:type="auto"/>
            <w:shd w:val="clear" w:color="auto" w:fill="auto"/>
            <w:vAlign w:val="center"/>
          </w:tcPr>
          <w:p w14:paraId="561ED03B" w14:textId="77777777" w:rsidR="00D04D1C" w:rsidRPr="00663623" w:rsidRDefault="00D04D1C" w:rsidP="00F524FA">
            <w:pPr>
              <w:pStyle w:val="TableText0"/>
              <w:rPr>
                <w:sz w:val="20"/>
              </w:rPr>
            </w:pPr>
            <w:r>
              <w:rPr>
                <w:sz w:val="20"/>
              </w:rPr>
              <w:t>S2</w:t>
            </w:r>
            <w:r w:rsidRPr="00663623">
              <w:rPr>
                <w:sz w:val="20"/>
              </w:rPr>
              <w:t>P</w:t>
            </w:r>
            <w:r>
              <w:rPr>
                <w:sz w:val="20"/>
              </w:rPr>
              <w:t>A</w:t>
            </w:r>
          </w:p>
        </w:tc>
        <w:tc>
          <w:tcPr>
            <w:tcW w:w="0" w:type="auto"/>
          </w:tcPr>
          <w:p w14:paraId="772747B7" w14:textId="77777777" w:rsidR="00D04D1C" w:rsidRPr="00663623" w:rsidRDefault="00D04D1C" w:rsidP="00F524FA">
            <w:pPr>
              <w:pStyle w:val="TableText0"/>
              <w:rPr>
                <w:sz w:val="20"/>
              </w:rPr>
            </w:pPr>
            <w:r>
              <w:rPr>
                <w:sz w:val="20"/>
              </w:rPr>
              <w:t>CMI_2015</w:t>
            </w:r>
            <w:r w:rsidRPr="00663623">
              <w:rPr>
                <w:sz w:val="20"/>
              </w:rPr>
              <w:t xml:space="preserve"> [1.5%]</w:t>
            </w:r>
          </w:p>
        </w:tc>
        <w:tc>
          <w:tcPr>
            <w:tcW w:w="0" w:type="auto"/>
          </w:tcPr>
          <w:p w14:paraId="38F720FB" w14:textId="2800B90A" w:rsidR="00D04D1C" w:rsidRPr="00663623" w:rsidRDefault="00D04D1C" w:rsidP="00D04D1C">
            <w:pPr>
              <w:pStyle w:val="TableText0"/>
              <w:rPr>
                <w:sz w:val="20"/>
              </w:rPr>
            </w:pPr>
            <w:r>
              <w:rPr>
                <w:noProof/>
                <w:sz w:val="20"/>
              </w:rPr>
              <w:t>125</w:t>
            </w:r>
            <w:r w:rsidRPr="00663623">
              <w:rPr>
                <w:sz w:val="20"/>
              </w:rPr>
              <w:t xml:space="preserve">% / </w:t>
            </w:r>
            <w:r>
              <w:rPr>
                <w:noProof/>
                <w:sz w:val="20"/>
              </w:rPr>
              <w:t>102</w:t>
            </w:r>
            <w:r w:rsidRPr="00663623">
              <w:rPr>
                <w:sz w:val="20"/>
              </w:rPr>
              <w:t>%</w:t>
            </w:r>
          </w:p>
        </w:tc>
      </w:tr>
      <w:tr w:rsidR="00D04D1C" w:rsidRPr="008961F4" w14:paraId="4D91399C" w14:textId="77777777" w:rsidTr="00F524FA">
        <w:trPr>
          <w:cantSplit/>
        </w:trPr>
        <w:tc>
          <w:tcPr>
            <w:tcW w:w="0" w:type="auto"/>
            <w:shd w:val="clear" w:color="auto" w:fill="auto"/>
            <w:vAlign w:val="center"/>
          </w:tcPr>
          <w:p w14:paraId="05452369" w14:textId="77777777" w:rsidR="00D04D1C" w:rsidRPr="00663623" w:rsidRDefault="00D04D1C" w:rsidP="00F524FA">
            <w:pPr>
              <w:pStyle w:val="TableText0"/>
              <w:rPr>
                <w:sz w:val="20"/>
              </w:rPr>
            </w:pPr>
            <w:r w:rsidRPr="00663623">
              <w:rPr>
                <w:sz w:val="20"/>
              </w:rPr>
              <w:t>Future dependants</w:t>
            </w:r>
          </w:p>
        </w:tc>
        <w:tc>
          <w:tcPr>
            <w:tcW w:w="0" w:type="auto"/>
            <w:shd w:val="clear" w:color="auto" w:fill="auto"/>
            <w:vAlign w:val="center"/>
          </w:tcPr>
          <w:p w14:paraId="486C1C94" w14:textId="77777777" w:rsidR="00D04D1C" w:rsidRPr="00663623" w:rsidRDefault="00D04D1C" w:rsidP="00F524FA">
            <w:pPr>
              <w:pStyle w:val="TableText0"/>
              <w:rPr>
                <w:sz w:val="20"/>
              </w:rPr>
            </w:pPr>
            <w:r>
              <w:rPr>
                <w:sz w:val="20"/>
              </w:rPr>
              <w:t>S2PMA / S2</w:t>
            </w:r>
            <w:r w:rsidRPr="00663623">
              <w:rPr>
                <w:sz w:val="20"/>
              </w:rPr>
              <w:t>DFA</w:t>
            </w:r>
          </w:p>
        </w:tc>
        <w:tc>
          <w:tcPr>
            <w:tcW w:w="0" w:type="auto"/>
          </w:tcPr>
          <w:p w14:paraId="769144C3" w14:textId="77777777" w:rsidR="00D04D1C" w:rsidRPr="00663623" w:rsidRDefault="00D04D1C" w:rsidP="00F524FA">
            <w:pPr>
              <w:pStyle w:val="TableText0"/>
              <w:rPr>
                <w:sz w:val="20"/>
              </w:rPr>
            </w:pPr>
            <w:r>
              <w:rPr>
                <w:sz w:val="20"/>
              </w:rPr>
              <w:t>CMI_2015</w:t>
            </w:r>
            <w:r w:rsidRPr="00663623">
              <w:rPr>
                <w:sz w:val="20"/>
              </w:rPr>
              <w:t xml:space="preserve"> [1.5%]</w:t>
            </w:r>
          </w:p>
        </w:tc>
        <w:tc>
          <w:tcPr>
            <w:tcW w:w="0" w:type="auto"/>
          </w:tcPr>
          <w:p w14:paraId="3E07D55E" w14:textId="3992C2A7" w:rsidR="00D04D1C" w:rsidRPr="00663623" w:rsidRDefault="00D04D1C" w:rsidP="00D04D1C">
            <w:pPr>
              <w:pStyle w:val="TableText0"/>
              <w:rPr>
                <w:sz w:val="20"/>
              </w:rPr>
            </w:pPr>
            <w:r>
              <w:rPr>
                <w:noProof/>
                <w:sz w:val="20"/>
              </w:rPr>
              <w:t>105</w:t>
            </w:r>
            <w:r w:rsidRPr="00663623">
              <w:rPr>
                <w:sz w:val="20"/>
              </w:rPr>
              <w:t xml:space="preserve">% / </w:t>
            </w:r>
            <w:r>
              <w:rPr>
                <w:noProof/>
                <w:sz w:val="20"/>
              </w:rPr>
              <w:t>102</w:t>
            </w:r>
            <w:r w:rsidRPr="00663623">
              <w:rPr>
                <w:sz w:val="20"/>
              </w:rPr>
              <w:t>%</w:t>
            </w:r>
          </w:p>
        </w:tc>
      </w:tr>
    </w:tbl>
    <w:p w14:paraId="575BF3EE" w14:textId="77777777" w:rsidR="00D04D1C" w:rsidRDefault="00D04D1C" w:rsidP="00D04D1C">
      <w:pPr>
        <w:spacing w:after="120"/>
        <w:rPr>
          <w:rFonts w:cs="Arial"/>
          <w:b/>
          <w:bCs/>
          <w:color w:val="993366"/>
        </w:rPr>
      </w:pPr>
    </w:p>
    <w:p w14:paraId="16DB6802" w14:textId="57BF546F" w:rsidR="007E77EE" w:rsidRPr="00CD1FE4" w:rsidRDefault="007E77EE" w:rsidP="00EA6E81">
      <w:pPr>
        <w:spacing w:after="120"/>
      </w:pPr>
      <w:r w:rsidRPr="001D65EA">
        <w:rPr>
          <w:rFonts w:cs="Arial"/>
        </w:rPr>
        <w:t xml:space="preserve">Other demographic assumptions </w:t>
      </w:r>
      <w:r w:rsidR="001D65EA" w:rsidRPr="001D65EA">
        <w:rPr>
          <w:rFonts w:cs="Arial"/>
        </w:rPr>
        <w:t>are set out in the Actuary’s formal report.</w:t>
      </w:r>
    </w:p>
    <w:p w14:paraId="2F063B70" w14:textId="77777777" w:rsidR="007E77EE" w:rsidRDefault="007E77EE" w:rsidP="007E77EE">
      <w:pPr>
        <w:jc w:val="right"/>
        <w:rPr>
          <w:rFonts w:cs="Arial"/>
          <w:b/>
          <w:color w:val="993366"/>
          <w:sz w:val="28"/>
          <w:szCs w:val="36"/>
        </w:rPr>
      </w:pPr>
    </w:p>
    <w:p w14:paraId="3E93AC0F" w14:textId="77777777" w:rsidR="00F01A4B" w:rsidRDefault="00F01A4B" w:rsidP="008067F7">
      <w:pPr>
        <w:rPr>
          <w:lang w:val="en-GB"/>
        </w:rPr>
      </w:pPr>
    </w:p>
    <w:p w14:paraId="423CA300" w14:textId="36744771" w:rsidR="00F01A4B" w:rsidRDefault="00F01A4B" w:rsidP="00F01A4B">
      <w:pPr>
        <w:pStyle w:val="AppendixTitle"/>
        <w:rPr>
          <w:lang w:val="en-GB"/>
        </w:rPr>
      </w:pPr>
      <w:r>
        <w:rPr>
          <w:lang w:val="en-GB"/>
        </w:rPr>
        <w:t xml:space="preserve">APPENDIX B </w:t>
      </w:r>
      <w:r w:rsidR="00912691">
        <w:rPr>
          <w:lang w:val="en-GB"/>
        </w:rPr>
        <w:t>–</w:t>
      </w:r>
      <w:r>
        <w:rPr>
          <w:lang w:val="en-GB"/>
        </w:rPr>
        <w:t xml:space="preserve"> </w:t>
      </w:r>
      <w:r w:rsidR="00912691">
        <w:rPr>
          <w:lang w:val="en-GB"/>
        </w:rPr>
        <w:t xml:space="preserve">employer </w:t>
      </w:r>
      <w:r>
        <w:rPr>
          <w:lang w:val="en-GB"/>
        </w:rPr>
        <w:t>DEFICIT RECOVERY PLANS</w:t>
      </w:r>
    </w:p>
    <w:p w14:paraId="0C234589" w14:textId="77777777" w:rsidR="00725995" w:rsidRDefault="00725995" w:rsidP="00F63468">
      <w:pPr>
        <w:pStyle w:val="DocumentText"/>
        <w:rPr>
          <w:lang w:val="en-GB"/>
        </w:rPr>
      </w:pPr>
    </w:p>
    <w:p w14:paraId="2DF94871" w14:textId="0751A419" w:rsidR="00F63468" w:rsidRDefault="00F63468" w:rsidP="00F63468">
      <w:pPr>
        <w:pStyle w:val="DocumentText"/>
        <w:rPr>
          <w:lang w:val="en-GB"/>
        </w:rPr>
      </w:pPr>
      <w:r>
        <w:rPr>
          <w:lang w:val="en-GB"/>
        </w:rPr>
        <w:t xml:space="preserve">As the assets of the </w:t>
      </w:r>
      <w:r w:rsidR="00177D13">
        <w:rPr>
          <w:rFonts w:cs="Arial"/>
        </w:rPr>
        <w:t>Fund</w:t>
      </w:r>
      <w:r>
        <w:rPr>
          <w:lang w:val="en-GB"/>
        </w:rPr>
        <w:t xml:space="preserve"> are less than the liabilities at the effective date, a deficit recovery plan needs to be adopted such that additional contributions are paid into the </w:t>
      </w:r>
      <w:r w:rsidR="00177D13">
        <w:rPr>
          <w:rFonts w:cs="Arial"/>
        </w:rPr>
        <w:t>Fund</w:t>
      </w:r>
      <w:r>
        <w:rPr>
          <w:lang w:val="en-GB"/>
        </w:rPr>
        <w:t xml:space="preserve"> to meet the shortfall.</w:t>
      </w:r>
    </w:p>
    <w:p w14:paraId="00913895" w14:textId="06F90C3B" w:rsidR="00F63468" w:rsidRDefault="00F63468" w:rsidP="00F63468">
      <w:pPr>
        <w:spacing w:after="120"/>
        <w:rPr>
          <w:lang w:val="en-GB"/>
        </w:rPr>
      </w:pPr>
      <w:r>
        <w:rPr>
          <w:lang w:val="en-GB"/>
        </w:rPr>
        <w:t xml:space="preserve">Deficit contributions paid to the </w:t>
      </w:r>
      <w:r w:rsidR="00177D13">
        <w:rPr>
          <w:rFonts w:cs="Arial"/>
        </w:rPr>
        <w:t>Fund</w:t>
      </w:r>
      <w:r>
        <w:rPr>
          <w:lang w:val="en-GB"/>
        </w:rPr>
        <w:t xml:space="preserve"> by each employer will </w:t>
      </w:r>
      <w:r w:rsidR="006F78CE">
        <w:rPr>
          <w:lang w:val="en-GB"/>
        </w:rPr>
        <w:t xml:space="preserve">normally </w:t>
      </w:r>
      <w:r>
        <w:rPr>
          <w:lang w:val="en-GB"/>
        </w:rPr>
        <w:t xml:space="preserve">be expressed as £s amounts and it is the </w:t>
      </w:r>
      <w:r w:rsidR="00177D13">
        <w:rPr>
          <w:rFonts w:cs="Arial"/>
        </w:rPr>
        <w:t>Fund</w:t>
      </w:r>
      <w:r>
        <w:rPr>
          <w:lang w:val="en-GB"/>
        </w:rPr>
        <w:t xml:space="preserve">’s objective that any funding deficit is eliminated as quickly as the participating employers can </w:t>
      </w:r>
      <w:r w:rsidR="007167D2">
        <w:rPr>
          <w:lang w:val="en-GB"/>
        </w:rPr>
        <w:t xml:space="preserve">reasonably </w:t>
      </w:r>
      <w:r>
        <w:rPr>
          <w:lang w:val="en-GB"/>
        </w:rPr>
        <w:t>afford</w:t>
      </w:r>
      <w:r w:rsidR="007167D2">
        <w:rPr>
          <w:lang w:val="en-GB"/>
        </w:rPr>
        <w:t xml:space="preserve"> based on the Administering Authority’s view of the employer’s covenant and risk to the </w:t>
      </w:r>
      <w:r w:rsidR="00177D13">
        <w:rPr>
          <w:rFonts w:cs="Arial"/>
        </w:rPr>
        <w:t>Fund</w:t>
      </w:r>
      <w:r>
        <w:rPr>
          <w:lang w:val="en-GB"/>
        </w:rPr>
        <w:t>.</w:t>
      </w:r>
      <w:r w:rsidR="007167D2">
        <w:rPr>
          <w:lang w:val="en-GB"/>
        </w:rPr>
        <w:t xml:space="preserve"> </w:t>
      </w:r>
    </w:p>
    <w:p w14:paraId="4F5CE640" w14:textId="0CA376C2" w:rsidR="00F63468" w:rsidRPr="00F63468" w:rsidRDefault="007167D2" w:rsidP="00F63468">
      <w:pPr>
        <w:spacing w:after="120"/>
        <w:rPr>
          <w:lang w:val="en-GB"/>
        </w:rPr>
      </w:pPr>
      <w:r>
        <w:rPr>
          <w:lang w:val="en-GB"/>
        </w:rPr>
        <w:t>R</w:t>
      </w:r>
      <w:r w:rsidR="00F63468">
        <w:rPr>
          <w:lang w:val="en-GB"/>
        </w:rPr>
        <w:t xml:space="preserve">ecovery periods will be set by the </w:t>
      </w:r>
      <w:r w:rsidR="00177D13">
        <w:rPr>
          <w:rFonts w:cs="Arial"/>
        </w:rPr>
        <w:t>Fund</w:t>
      </w:r>
      <w:r>
        <w:rPr>
          <w:lang w:val="en-GB"/>
        </w:rPr>
        <w:t xml:space="preserve"> on a consistent basis across employer categories where possible and communicated as part of the discussions with employers. This will determine the minimum contribution requirement and e</w:t>
      </w:r>
      <w:r w:rsidR="00F63468">
        <w:rPr>
          <w:lang w:val="en-GB"/>
        </w:rPr>
        <w:t xml:space="preserve">mployers </w:t>
      </w:r>
      <w:r w:rsidR="00F63468">
        <w:rPr>
          <w:rFonts w:cs="Arial"/>
        </w:rPr>
        <w:t xml:space="preserve">will be free to </w:t>
      </w:r>
      <w:r w:rsidR="00F63468" w:rsidRPr="00F63468">
        <w:rPr>
          <w:lang w:val="en-GB"/>
        </w:rPr>
        <w:t xml:space="preserve">select any shorter deficit recovery period </w:t>
      </w:r>
      <w:r>
        <w:rPr>
          <w:lang w:val="en-GB"/>
        </w:rPr>
        <w:t>and higher con</w:t>
      </w:r>
      <w:r w:rsidRPr="00D04D1C">
        <w:rPr>
          <w:lang w:val="en-GB"/>
        </w:rPr>
        <w:t>tributions if they wish, including</w:t>
      </w:r>
      <w:r w:rsidR="00D04D1C" w:rsidRPr="00D04D1C">
        <w:rPr>
          <w:lang w:val="en-GB"/>
        </w:rPr>
        <w:t>, at the discretion of the Administering Authority,</w:t>
      </w:r>
      <w:r w:rsidRPr="00D04D1C">
        <w:rPr>
          <w:lang w:val="en-GB"/>
        </w:rPr>
        <w:t xml:space="preserve"> the option of prepaying the deficit contributions in one lump sum</w:t>
      </w:r>
      <w:r w:rsidR="00D04D1C" w:rsidRPr="00D04D1C">
        <w:rPr>
          <w:lang w:val="en-GB"/>
        </w:rPr>
        <w:t xml:space="preserve">, </w:t>
      </w:r>
      <w:r w:rsidRPr="00D04D1C">
        <w:rPr>
          <w:lang w:val="en-GB"/>
        </w:rPr>
        <w:t>either on annual basis or a one-off payment.</w:t>
      </w:r>
      <w:r>
        <w:rPr>
          <w:lang w:val="en-GB"/>
        </w:rPr>
        <w:t xml:space="preserve">  This will be reflected in the monetary amount requested via a reduction in overall £ deficit contributions payable.</w:t>
      </w:r>
    </w:p>
    <w:p w14:paraId="5C6299A3" w14:textId="240ABECC" w:rsidR="00C165D6" w:rsidRDefault="007167D2" w:rsidP="00C165D6">
      <w:pPr>
        <w:spacing w:after="120"/>
        <w:jc w:val="both"/>
        <w:rPr>
          <w:rFonts w:cs="Arial"/>
        </w:rPr>
      </w:pPr>
      <w:r>
        <w:rPr>
          <w:rFonts w:cs="Arial"/>
        </w:rPr>
        <w:t>The determination of the recovery periods is summarised in the table below:</w:t>
      </w:r>
    </w:p>
    <w:tbl>
      <w:tblPr>
        <w:tblW w:w="4854" w:type="pct"/>
        <w:jc w:val="center"/>
        <w:tblCellMar>
          <w:left w:w="0" w:type="dxa"/>
          <w:right w:w="0" w:type="dxa"/>
        </w:tblCellMar>
        <w:tblLook w:val="0420" w:firstRow="1" w:lastRow="0" w:firstColumn="0" w:lastColumn="0" w:noHBand="0" w:noVBand="1"/>
      </w:tblPr>
      <w:tblGrid>
        <w:gridCol w:w="3394"/>
        <w:gridCol w:w="2984"/>
        <w:gridCol w:w="3259"/>
      </w:tblGrid>
      <w:tr w:rsidR="007167D2" w:rsidRPr="00B60EA7" w14:paraId="11EED5FB" w14:textId="77777777" w:rsidTr="007167D2">
        <w:trPr>
          <w:trHeight w:val="18"/>
          <w:jc w:val="center"/>
        </w:trPr>
        <w:tc>
          <w:tcPr>
            <w:tcW w:w="1761" w:type="pct"/>
            <w:tcBorders>
              <w:top w:val="single" w:sz="8" w:space="0" w:color="FFFFFF"/>
              <w:left w:val="single" w:sz="8" w:space="0" w:color="FFFFFF"/>
              <w:bottom w:val="nil"/>
              <w:right w:val="single" w:sz="8" w:space="0" w:color="FFFFFF"/>
            </w:tcBorders>
            <w:shd w:val="clear" w:color="auto" w:fill="00A8C8" w:themeFill="accent2"/>
            <w:tcMar>
              <w:top w:w="72" w:type="dxa"/>
              <w:left w:w="144" w:type="dxa"/>
              <w:bottom w:w="72" w:type="dxa"/>
              <w:right w:w="144" w:type="dxa"/>
            </w:tcMar>
            <w:vAlign w:val="center"/>
            <w:hideMark/>
          </w:tcPr>
          <w:p w14:paraId="4DACFCDF" w14:textId="0E543B11" w:rsidR="007167D2" w:rsidRPr="00B60EA7" w:rsidRDefault="007167D2" w:rsidP="000C5337">
            <w:pPr>
              <w:pStyle w:val="TableHead"/>
            </w:pPr>
            <w:r>
              <w:t>Category</w:t>
            </w:r>
          </w:p>
        </w:tc>
        <w:tc>
          <w:tcPr>
            <w:tcW w:w="1548" w:type="pct"/>
            <w:tcBorders>
              <w:top w:val="single" w:sz="8" w:space="0" w:color="FFFFFF"/>
              <w:left w:val="single" w:sz="8" w:space="0" w:color="FFFFFF"/>
              <w:bottom w:val="nil"/>
              <w:right w:val="single" w:sz="8" w:space="0" w:color="FFFFFF"/>
            </w:tcBorders>
            <w:shd w:val="clear" w:color="auto" w:fill="00A8C8" w:themeFill="accent2"/>
          </w:tcPr>
          <w:p w14:paraId="769764CF" w14:textId="0B315EC2" w:rsidR="007167D2" w:rsidRDefault="006F78CE" w:rsidP="007167D2">
            <w:pPr>
              <w:pStyle w:val="TableHead"/>
              <w:jc w:val="center"/>
            </w:pPr>
            <w:r>
              <w:t>Normal</w:t>
            </w:r>
            <w:r w:rsidR="007167D2">
              <w:t xml:space="preserve"> Deficit Recovery Period</w:t>
            </w:r>
          </w:p>
        </w:tc>
        <w:tc>
          <w:tcPr>
            <w:tcW w:w="1691" w:type="pct"/>
            <w:tcBorders>
              <w:top w:val="single" w:sz="8" w:space="0" w:color="FFFFFF"/>
              <w:left w:val="single" w:sz="8" w:space="0" w:color="FFFFFF"/>
              <w:bottom w:val="nil"/>
              <w:right w:val="single" w:sz="8" w:space="0" w:color="FFFFFF"/>
            </w:tcBorders>
            <w:shd w:val="clear" w:color="auto" w:fill="00A8C8" w:themeFill="accent2"/>
            <w:tcMar>
              <w:top w:w="72" w:type="dxa"/>
              <w:left w:w="144" w:type="dxa"/>
              <w:bottom w:w="72" w:type="dxa"/>
              <w:right w:w="144" w:type="dxa"/>
            </w:tcMar>
            <w:vAlign w:val="center"/>
            <w:hideMark/>
          </w:tcPr>
          <w:p w14:paraId="006DDE1E" w14:textId="0B3BEA70" w:rsidR="007167D2" w:rsidRPr="00B60EA7" w:rsidRDefault="007167D2" w:rsidP="000C5337">
            <w:pPr>
              <w:pStyle w:val="TableHead"/>
            </w:pPr>
            <w:r>
              <w:t>Derivation</w:t>
            </w:r>
          </w:p>
        </w:tc>
      </w:tr>
      <w:tr w:rsidR="007167D2" w:rsidRPr="00B60EA7" w14:paraId="272E2667" w14:textId="77777777" w:rsidTr="00212B4D">
        <w:trPr>
          <w:trHeight w:val="23"/>
          <w:jc w:val="center"/>
        </w:trPr>
        <w:tc>
          <w:tcPr>
            <w:tcW w:w="1761" w:type="pct"/>
            <w:tcBorders>
              <w:top w:val="nil"/>
              <w:left w:val="nil"/>
              <w:bottom w:val="nil"/>
              <w:right w:val="nil"/>
            </w:tcBorders>
            <w:shd w:val="clear" w:color="auto" w:fill="F2F2F2"/>
            <w:tcMar>
              <w:top w:w="72" w:type="dxa"/>
              <w:left w:w="144" w:type="dxa"/>
              <w:bottom w:w="72" w:type="dxa"/>
              <w:right w:w="144" w:type="dxa"/>
            </w:tcMar>
            <w:vAlign w:val="center"/>
          </w:tcPr>
          <w:p w14:paraId="0D0AB7A2" w14:textId="4775BF36" w:rsidR="007167D2" w:rsidRPr="0097329E" w:rsidRDefault="00177D13" w:rsidP="00212B4D">
            <w:pPr>
              <w:pStyle w:val="TableText"/>
              <w:rPr>
                <w:rStyle w:val="TableTextChar"/>
              </w:rPr>
            </w:pPr>
            <w:r>
              <w:rPr>
                <w:rStyle w:val="TableTextChar"/>
              </w:rPr>
              <w:t>Fund</w:t>
            </w:r>
            <w:r w:rsidR="009064B7">
              <w:rPr>
                <w:rStyle w:val="TableTextChar"/>
              </w:rPr>
              <w:t xml:space="preserve"> Employers</w:t>
            </w:r>
          </w:p>
        </w:tc>
        <w:tc>
          <w:tcPr>
            <w:tcW w:w="1548" w:type="pct"/>
            <w:tcBorders>
              <w:top w:val="nil"/>
              <w:left w:val="nil"/>
              <w:bottom w:val="nil"/>
              <w:right w:val="nil"/>
            </w:tcBorders>
            <w:shd w:val="clear" w:color="auto" w:fill="F2F2F2"/>
            <w:vAlign w:val="center"/>
          </w:tcPr>
          <w:p w14:paraId="013BCE27" w14:textId="1F8BD8DB" w:rsidR="007167D2" w:rsidRDefault="00DB7350" w:rsidP="00735F9A">
            <w:pPr>
              <w:pStyle w:val="TableText"/>
              <w:jc w:val="center"/>
              <w:rPr>
                <w:rStyle w:val="TableTextChar"/>
              </w:rPr>
            </w:pPr>
            <w:r>
              <w:rPr>
                <w:rStyle w:val="TableTextChar"/>
              </w:rPr>
              <w:t>16</w:t>
            </w:r>
            <w:r w:rsidR="007167D2">
              <w:rPr>
                <w:rStyle w:val="TableTextChar"/>
              </w:rPr>
              <w:t xml:space="preserve"> years</w:t>
            </w:r>
          </w:p>
        </w:tc>
        <w:tc>
          <w:tcPr>
            <w:tcW w:w="1691" w:type="pct"/>
            <w:tcBorders>
              <w:top w:val="nil"/>
              <w:left w:val="nil"/>
              <w:bottom w:val="nil"/>
              <w:right w:val="nil"/>
            </w:tcBorders>
            <w:shd w:val="clear" w:color="auto" w:fill="F2F2F2"/>
            <w:tcMar>
              <w:top w:w="72" w:type="dxa"/>
              <w:left w:w="144" w:type="dxa"/>
              <w:bottom w:w="72" w:type="dxa"/>
              <w:right w:w="144" w:type="dxa"/>
            </w:tcMar>
            <w:vAlign w:val="center"/>
          </w:tcPr>
          <w:p w14:paraId="6F33897B" w14:textId="338CD509" w:rsidR="007167D2" w:rsidRDefault="007167D2" w:rsidP="00DB7350">
            <w:pPr>
              <w:pStyle w:val="TableText"/>
              <w:rPr>
                <w:rStyle w:val="TableTextChar"/>
              </w:rPr>
            </w:pPr>
            <w:r>
              <w:rPr>
                <w:rStyle w:val="TableTextChar"/>
              </w:rPr>
              <w:t xml:space="preserve">Determined by reducing the period from the preceding valuation by at least </w:t>
            </w:r>
            <w:r w:rsidR="00DB7350">
              <w:rPr>
                <w:rStyle w:val="TableTextChar"/>
              </w:rPr>
              <w:t>3</w:t>
            </w:r>
            <w:r>
              <w:rPr>
                <w:rStyle w:val="TableTextChar"/>
              </w:rPr>
              <w:t xml:space="preserve"> years and to ensure contributions do not reduce versus those expected from the exi</w:t>
            </w:r>
            <w:r w:rsidR="001E75C3">
              <w:rPr>
                <w:rStyle w:val="TableTextChar"/>
              </w:rPr>
              <w:t>s</w:t>
            </w:r>
            <w:r>
              <w:rPr>
                <w:rStyle w:val="TableTextChar"/>
              </w:rPr>
              <w:t>ting plan.</w:t>
            </w:r>
          </w:p>
        </w:tc>
      </w:tr>
      <w:tr w:rsidR="007167D2" w:rsidRPr="00B60EA7" w14:paraId="3831AB23" w14:textId="77777777" w:rsidTr="00212B4D">
        <w:trPr>
          <w:trHeight w:val="23"/>
          <w:jc w:val="center"/>
        </w:trPr>
        <w:tc>
          <w:tcPr>
            <w:tcW w:w="1761" w:type="pct"/>
            <w:tcBorders>
              <w:top w:val="nil"/>
              <w:left w:val="nil"/>
              <w:bottom w:val="nil"/>
              <w:right w:val="nil"/>
            </w:tcBorders>
            <w:shd w:val="clear" w:color="auto" w:fill="F2F2F2"/>
            <w:tcMar>
              <w:top w:w="72" w:type="dxa"/>
              <w:left w:w="144" w:type="dxa"/>
              <w:bottom w:w="72" w:type="dxa"/>
              <w:right w:w="144" w:type="dxa"/>
            </w:tcMar>
            <w:vAlign w:val="center"/>
            <w:hideMark/>
          </w:tcPr>
          <w:p w14:paraId="1293B0B1" w14:textId="6DF80B67" w:rsidR="007167D2" w:rsidRPr="00B60EA7" w:rsidRDefault="009064B7" w:rsidP="009064B7">
            <w:pPr>
              <w:pStyle w:val="TableText"/>
            </w:pPr>
            <w:r>
              <w:rPr>
                <w:rStyle w:val="TableTextChar"/>
              </w:rPr>
              <w:t>Open Admitted Bodies</w:t>
            </w:r>
          </w:p>
        </w:tc>
        <w:tc>
          <w:tcPr>
            <w:tcW w:w="1548" w:type="pct"/>
            <w:tcBorders>
              <w:top w:val="nil"/>
              <w:left w:val="nil"/>
              <w:bottom w:val="nil"/>
              <w:right w:val="nil"/>
            </w:tcBorders>
            <w:shd w:val="clear" w:color="auto" w:fill="F2F2F2"/>
            <w:vAlign w:val="center"/>
          </w:tcPr>
          <w:p w14:paraId="7FBD4912" w14:textId="3B4E3F63" w:rsidR="007167D2" w:rsidRDefault="00DB7350" w:rsidP="00212B4D">
            <w:pPr>
              <w:pStyle w:val="TableText"/>
              <w:jc w:val="center"/>
              <w:rPr>
                <w:rStyle w:val="TableTextChar"/>
              </w:rPr>
            </w:pPr>
            <w:r>
              <w:rPr>
                <w:rStyle w:val="TableTextChar"/>
              </w:rPr>
              <w:t>16</w:t>
            </w:r>
            <w:r w:rsidR="007167D2" w:rsidRPr="00706C80">
              <w:rPr>
                <w:rStyle w:val="TableTextChar"/>
              </w:rPr>
              <w:t xml:space="preserve"> years</w:t>
            </w:r>
          </w:p>
        </w:tc>
        <w:tc>
          <w:tcPr>
            <w:tcW w:w="1691" w:type="pct"/>
            <w:tcBorders>
              <w:top w:val="nil"/>
              <w:left w:val="nil"/>
              <w:bottom w:val="nil"/>
              <w:right w:val="nil"/>
            </w:tcBorders>
            <w:shd w:val="clear" w:color="auto" w:fill="F2F2F2"/>
            <w:tcMar>
              <w:top w:w="72" w:type="dxa"/>
              <w:left w:w="144" w:type="dxa"/>
              <w:bottom w:w="72" w:type="dxa"/>
              <w:right w:w="144" w:type="dxa"/>
            </w:tcMar>
            <w:vAlign w:val="center"/>
            <w:hideMark/>
          </w:tcPr>
          <w:p w14:paraId="46EE1F40" w14:textId="6B6347B3" w:rsidR="007167D2" w:rsidRPr="0097329E" w:rsidRDefault="007167D2" w:rsidP="00DB7350">
            <w:pPr>
              <w:pStyle w:val="TableText"/>
              <w:rPr>
                <w:rStyle w:val="TableTextChar"/>
              </w:rPr>
            </w:pPr>
            <w:r>
              <w:rPr>
                <w:rStyle w:val="TableTextChar"/>
              </w:rPr>
              <w:t xml:space="preserve">Determined by reducing the period from the preceding valuation by at least </w:t>
            </w:r>
            <w:r w:rsidR="00DB7350">
              <w:rPr>
                <w:rStyle w:val="TableTextChar"/>
              </w:rPr>
              <w:t>3</w:t>
            </w:r>
            <w:r>
              <w:rPr>
                <w:rStyle w:val="TableTextChar"/>
              </w:rPr>
              <w:t xml:space="preserve"> years and to ensure contributions do not reduce versus those expected from the exi</w:t>
            </w:r>
            <w:r w:rsidR="001E75C3">
              <w:rPr>
                <w:rStyle w:val="TableTextChar"/>
              </w:rPr>
              <w:t>s</w:t>
            </w:r>
            <w:r>
              <w:rPr>
                <w:rStyle w:val="TableTextChar"/>
              </w:rPr>
              <w:t>ting plan.</w:t>
            </w:r>
          </w:p>
        </w:tc>
      </w:tr>
      <w:tr w:rsidR="00BF3822" w:rsidRPr="00B60EA7" w14:paraId="4F001D1F" w14:textId="77777777" w:rsidTr="00212B4D">
        <w:trPr>
          <w:trHeight w:val="23"/>
          <w:jc w:val="center"/>
        </w:trPr>
        <w:tc>
          <w:tcPr>
            <w:tcW w:w="1761" w:type="pct"/>
            <w:tcBorders>
              <w:top w:val="nil"/>
              <w:left w:val="nil"/>
              <w:bottom w:val="nil"/>
              <w:right w:val="nil"/>
            </w:tcBorders>
            <w:shd w:val="clear" w:color="auto" w:fill="F2F2F2"/>
            <w:tcMar>
              <w:top w:w="72" w:type="dxa"/>
              <w:left w:w="144" w:type="dxa"/>
              <w:bottom w:w="72" w:type="dxa"/>
              <w:right w:w="144" w:type="dxa"/>
            </w:tcMar>
            <w:vAlign w:val="center"/>
          </w:tcPr>
          <w:p w14:paraId="612C1CD0" w14:textId="3BFB6DF2" w:rsidR="00BF3822" w:rsidRDefault="00BF3822" w:rsidP="009064B7">
            <w:pPr>
              <w:pStyle w:val="TableText"/>
              <w:rPr>
                <w:rStyle w:val="TableTextChar"/>
              </w:rPr>
            </w:pPr>
            <w:r>
              <w:rPr>
                <w:rStyle w:val="TableTextChar"/>
              </w:rPr>
              <w:t>Closed Employers</w:t>
            </w:r>
          </w:p>
        </w:tc>
        <w:tc>
          <w:tcPr>
            <w:tcW w:w="1548" w:type="pct"/>
            <w:tcBorders>
              <w:top w:val="nil"/>
              <w:left w:val="nil"/>
              <w:bottom w:val="nil"/>
              <w:right w:val="nil"/>
            </w:tcBorders>
            <w:shd w:val="clear" w:color="auto" w:fill="F2F2F2"/>
            <w:vAlign w:val="center"/>
          </w:tcPr>
          <w:p w14:paraId="745A3E36" w14:textId="0ED15FB7" w:rsidR="00BF3822" w:rsidRDefault="00BF3822" w:rsidP="00DB7350">
            <w:pPr>
              <w:pStyle w:val="TableText"/>
              <w:jc w:val="center"/>
              <w:rPr>
                <w:rStyle w:val="TableTextChar"/>
              </w:rPr>
            </w:pPr>
            <w:r>
              <w:rPr>
                <w:rStyle w:val="TableTextChar"/>
              </w:rPr>
              <w:t xml:space="preserve">Minimum of </w:t>
            </w:r>
            <w:r w:rsidR="00DB7350">
              <w:rPr>
                <w:rStyle w:val="TableTextChar"/>
              </w:rPr>
              <w:t>16</w:t>
            </w:r>
            <w:r w:rsidRPr="00706C80">
              <w:rPr>
                <w:rStyle w:val="TableTextChar"/>
              </w:rPr>
              <w:t xml:space="preserve"> years</w:t>
            </w:r>
            <w:r>
              <w:rPr>
                <w:rStyle w:val="TableTextChar"/>
              </w:rPr>
              <w:t xml:space="preserve"> and the future working lifetime of the membership</w:t>
            </w:r>
          </w:p>
        </w:tc>
        <w:tc>
          <w:tcPr>
            <w:tcW w:w="1691" w:type="pct"/>
            <w:tcBorders>
              <w:top w:val="nil"/>
              <w:left w:val="nil"/>
              <w:bottom w:val="nil"/>
              <w:right w:val="nil"/>
            </w:tcBorders>
            <w:shd w:val="clear" w:color="auto" w:fill="F2F2F2"/>
            <w:tcMar>
              <w:top w:w="72" w:type="dxa"/>
              <w:left w:w="144" w:type="dxa"/>
              <w:bottom w:w="72" w:type="dxa"/>
              <w:right w:w="144" w:type="dxa"/>
            </w:tcMar>
            <w:vAlign w:val="center"/>
          </w:tcPr>
          <w:p w14:paraId="451197FA" w14:textId="6E04FC8F" w:rsidR="00BF3822" w:rsidRDefault="00DB7350" w:rsidP="000C5337">
            <w:pPr>
              <w:pStyle w:val="TableText"/>
              <w:rPr>
                <w:rStyle w:val="TableTextChar"/>
              </w:rPr>
            </w:pPr>
            <w:r>
              <w:rPr>
                <w:rStyle w:val="TableTextChar"/>
              </w:rPr>
              <w:t>Determined by the future working life of the membership, and to ensure contributions do not reduce versus those expected from the existing plan.</w:t>
            </w:r>
          </w:p>
        </w:tc>
      </w:tr>
      <w:tr w:rsidR="00BF3822" w:rsidRPr="00B60EA7" w14:paraId="6E091882" w14:textId="77777777" w:rsidTr="00212B4D">
        <w:trPr>
          <w:trHeight w:val="23"/>
          <w:jc w:val="center"/>
        </w:trPr>
        <w:tc>
          <w:tcPr>
            <w:tcW w:w="1761" w:type="pct"/>
            <w:tcBorders>
              <w:top w:val="nil"/>
              <w:left w:val="nil"/>
              <w:bottom w:val="single" w:sz="4" w:space="0" w:color="BFBFBF" w:themeColor="background2"/>
              <w:right w:val="nil"/>
            </w:tcBorders>
            <w:shd w:val="clear" w:color="auto" w:fill="F2F2F2"/>
            <w:tcMar>
              <w:top w:w="72" w:type="dxa"/>
              <w:left w:w="144" w:type="dxa"/>
              <w:bottom w:w="72" w:type="dxa"/>
              <w:right w:w="144" w:type="dxa"/>
            </w:tcMar>
            <w:vAlign w:val="center"/>
            <w:hideMark/>
          </w:tcPr>
          <w:p w14:paraId="4C815653" w14:textId="5BCB2562" w:rsidR="00BF3822" w:rsidRPr="0097329E" w:rsidRDefault="00BF3822" w:rsidP="000C5337">
            <w:pPr>
              <w:pStyle w:val="TableText"/>
            </w:pPr>
            <w:r>
              <w:t xml:space="preserve">Employers with a limited participation in the </w:t>
            </w:r>
            <w:r w:rsidR="00177D13">
              <w:t>Fund</w:t>
            </w:r>
          </w:p>
        </w:tc>
        <w:tc>
          <w:tcPr>
            <w:tcW w:w="1548" w:type="pct"/>
            <w:tcBorders>
              <w:top w:val="nil"/>
              <w:left w:val="nil"/>
              <w:bottom w:val="single" w:sz="4" w:space="0" w:color="BFBFBF" w:themeColor="background2"/>
              <w:right w:val="nil"/>
            </w:tcBorders>
            <w:shd w:val="clear" w:color="auto" w:fill="F2F2F2"/>
            <w:vAlign w:val="center"/>
          </w:tcPr>
          <w:p w14:paraId="27AD56E8" w14:textId="4F4952F3" w:rsidR="00BF3822" w:rsidRDefault="00BF3822" w:rsidP="00BF3822">
            <w:pPr>
              <w:pStyle w:val="TableText"/>
              <w:jc w:val="center"/>
              <w:rPr>
                <w:rStyle w:val="TableTextChar"/>
              </w:rPr>
            </w:pPr>
            <w:r>
              <w:rPr>
                <w:rStyle w:val="TableTextChar"/>
              </w:rPr>
              <w:t>Determined on a case by case basis</w:t>
            </w:r>
          </w:p>
        </w:tc>
        <w:tc>
          <w:tcPr>
            <w:tcW w:w="1691" w:type="pct"/>
            <w:tcBorders>
              <w:top w:val="nil"/>
              <w:left w:val="nil"/>
              <w:bottom w:val="single" w:sz="4" w:space="0" w:color="BFBFBF" w:themeColor="background2"/>
              <w:right w:val="nil"/>
            </w:tcBorders>
            <w:shd w:val="clear" w:color="auto" w:fill="F2F2F2"/>
            <w:tcMar>
              <w:top w:w="72" w:type="dxa"/>
              <w:left w:w="144" w:type="dxa"/>
              <w:bottom w:w="72" w:type="dxa"/>
              <w:right w:w="144" w:type="dxa"/>
            </w:tcMar>
            <w:vAlign w:val="center"/>
            <w:hideMark/>
          </w:tcPr>
          <w:p w14:paraId="18D993D5" w14:textId="79B149ED" w:rsidR="00BF3822" w:rsidRPr="0097329E" w:rsidRDefault="003C3C0F" w:rsidP="000C5337">
            <w:pPr>
              <w:pStyle w:val="TableText"/>
              <w:rPr>
                <w:rStyle w:val="TableTextChar"/>
              </w:rPr>
            </w:pPr>
            <w:r w:rsidRPr="00592478">
              <w:rPr>
                <w:rStyle w:val="TableTextChar"/>
              </w:rPr>
              <w:t xml:space="preserve">Length of expected period of participation in the </w:t>
            </w:r>
            <w:r w:rsidR="00177D13">
              <w:rPr>
                <w:rStyle w:val="TableTextChar"/>
              </w:rPr>
              <w:t>Fund</w:t>
            </w:r>
          </w:p>
        </w:tc>
      </w:tr>
    </w:tbl>
    <w:p w14:paraId="6DFE3407" w14:textId="77777777" w:rsidR="00C165D6" w:rsidRDefault="00C165D6" w:rsidP="00F63468">
      <w:pPr>
        <w:spacing w:after="120"/>
        <w:rPr>
          <w:lang w:val="en-GB"/>
        </w:rPr>
      </w:pPr>
    </w:p>
    <w:p w14:paraId="0B6D74E7" w14:textId="77777777" w:rsidR="003C3C0F" w:rsidRPr="00966D29" w:rsidRDefault="003C3C0F" w:rsidP="00966D29">
      <w:pPr>
        <w:spacing w:after="120"/>
        <w:rPr>
          <w:lang w:val="en-GB"/>
        </w:rPr>
      </w:pPr>
      <w:r w:rsidRPr="00966D29">
        <w:rPr>
          <w:lang w:val="en-GB"/>
        </w:rPr>
        <w:t>In determining the actual recovery period to apply for any particular employer or employer grouping, the Administering Authority may take into account some or all of the following factors:</w:t>
      </w:r>
    </w:p>
    <w:p w14:paraId="541A5E8B" w14:textId="77777777" w:rsidR="003C3C0F" w:rsidRPr="00966D29" w:rsidRDefault="003C3C0F" w:rsidP="00966D29">
      <w:pPr>
        <w:pStyle w:val="ListParagraph"/>
        <w:numPr>
          <w:ilvl w:val="0"/>
          <w:numId w:val="26"/>
        </w:numPr>
        <w:spacing w:after="120"/>
        <w:rPr>
          <w:lang w:val="en-GB"/>
        </w:rPr>
      </w:pPr>
      <w:r w:rsidRPr="00966D29">
        <w:rPr>
          <w:lang w:val="en-GB"/>
        </w:rPr>
        <w:t xml:space="preserve">The size of the funding shortfall;  </w:t>
      </w:r>
    </w:p>
    <w:p w14:paraId="12A9EBF1" w14:textId="77777777" w:rsidR="003C3C0F" w:rsidRPr="00966D29" w:rsidRDefault="003C3C0F" w:rsidP="00966D29">
      <w:pPr>
        <w:pStyle w:val="ListParagraph"/>
        <w:numPr>
          <w:ilvl w:val="0"/>
          <w:numId w:val="26"/>
        </w:numPr>
        <w:spacing w:after="120"/>
        <w:rPr>
          <w:lang w:val="en-GB"/>
        </w:rPr>
      </w:pPr>
      <w:r w:rsidRPr="00966D29">
        <w:rPr>
          <w:lang w:val="en-GB"/>
        </w:rPr>
        <w:t xml:space="preserve">The business plans of the employer;  </w:t>
      </w:r>
    </w:p>
    <w:p w14:paraId="1BCD3BA5" w14:textId="77777777" w:rsidR="003C3C0F" w:rsidRPr="00966D29" w:rsidRDefault="003C3C0F" w:rsidP="00966D29">
      <w:pPr>
        <w:pStyle w:val="ListParagraph"/>
        <w:numPr>
          <w:ilvl w:val="0"/>
          <w:numId w:val="26"/>
        </w:numPr>
        <w:spacing w:after="120"/>
        <w:rPr>
          <w:lang w:val="en-GB"/>
        </w:rPr>
      </w:pPr>
      <w:r w:rsidRPr="00966D29">
        <w:rPr>
          <w:lang w:val="en-GB"/>
        </w:rPr>
        <w:t xml:space="preserve">The assessment of the financial covenant of the Employer, and security of future income streams;  </w:t>
      </w:r>
    </w:p>
    <w:p w14:paraId="4FB91BD4" w14:textId="1245A4BB" w:rsidR="003C3C0F" w:rsidRPr="00966D29" w:rsidRDefault="003C3C0F" w:rsidP="00966D29">
      <w:pPr>
        <w:pStyle w:val="ListParagraph"/>
        <w:numPr>
          <w:ilvl w:val="0"/>
          <w:numId w:val="26"/>
        </w:numPr>
        <w:spacing w:after="120"/>
        <w:rPr>
          <w:lang w:val="en-GB"/>
        </w:rPr>
      </w:pPr>
      <w:r w:rsidRPr="00966D29">
        <w:rPr>
          <w:lang w:val="en-GB"/>
        </w:rPr>
        <w:t xml:space="preserve">Any contingent security available to the </w:t>
      </w:r>
      <w:r w:rsidR="00177D13">
        <w:rPr>
          <w:rFonts w:cs="Arial"/>
        </w:rPr>
        <w:t>Fund</w:t>
      </w:r>
      <w:r w:rsidRPr="00966D29">
        <w:rPr>
          <w:lang w:val="en-GB"/>
        </w:rPr>
        <w:t xml:space="preserve"> or offered by the Employer such as guarantor or bond arrangements, charge over assets, etc.</w:t>
      </w:r>
    </w:p>
    <w:p w14:paraId="0CF0DCF4" w14:textId="59B87A91" w:rsidR="00F82096" w:rsidRDefault="00F82096" w:rsidP="00F82096">
      <w:pPr>
        <w:spacing w:after="120"/>
        <w:rPr>
          <w:lang w:val="en-GB"/>
        </w:rPr>
      </w:pPr>
      <w:r w:rsidRPr="00F82096">
        <w:rPr>
          <w:lang w:val="en-GB"/>
        </w:rPr>
        <w:t>The objective is to recover any deficit over a reasonable timeframe, and this will be periodically reviewed. Subject to affordability considerations a key principl</w:t>
      </w:r>
      <w:r w:rsidR="006F78CE">
        <w:rPr>
          <w:lang w:val="en-GB"/>
        </w:rPr>
        <w:t>e will be to maintain</w:t>
      </w:r>
      <w:r w:rsidRPr="00F82096">
        <w:rPr>
          <w:lang w:val="en-GB"/>
        </w:rPr>
        <w:t xml:space="preserve"> </w:t>
      </w:r>
      <w:r w:rsidR="006F78CE">
        <w:rPr>
          <w:lang w:val="en-GB"/>
        </w:rPr>
        <w:t>overall</w:t>
      </w:r>
      <w:r w:rsidRPr="00F82096">
        <w:rPr>
          <w:lang w:val="en-GB"/>
        </w:rPr>
        <w:t xml:space="preserve"> contribution</w:t>
      </w:r>
      <w:r w:rsidR="006F78CE">
        <w:rPr>
          <w:lang w:val="en-GB"/>
        </w:rPr>
        <w:t xml:space="preserve"> level at least </w:t>
      </w:r>
      <w:r w:rsidRPr="00F82096">
        <w:rPr>
          <w:lang w:val="en-GB"/>
        </w:rPr>
        <w:t>at the expected monetary levels from the preceding valuation (allowing for any indexation in the</w:t>
      </w:r>
      <w:r w:rsidR="00041F52">
        <w:rPr>
          <w:lang w:val="en-GB"/>
        </w:rPr>
        <w:t xml:space="preserve"> deficit</w:t>
      </w:r>
      <w:r w:rsidRPr="00F82096">
        <w:rPr>
          <w:lang w:val="en-GB"/>
        </w:rPr>
        <w:t xml:space="preserve"> payments over the recovery period).  </w:t>
      </w:r>
    </w:p>
    <w:p w14:paraId="64C1B767" w14:textId="0B1CB747" w:rsidR="006F78CE" w:rsidRPr="00F82096" w:rsidRDefault="006F78CE" w:rsidP="00F82096">
      <w:pPr>
        <w:spacing w:after="120"/>
        <w:rPr>
          <w:lang w:val="en-GB"/>
        </w:rPr>
      </w:pPr>
      <w:r>
        <w:t>In exceptional circumstances the Fund may depart from the above principles for an employer or a particular group of employers.  Any such exceptions would be determined by the</w:t>
      </w:r>
      <w:r>
        <w:rPr>
          <w:rFonts w:cs="Arial"/>
        </w:rPr>
        <w:t xml:space="preserve"> Head of the Fund and reported to the Committee.</w:t>
      </w:r>
      <w:r w:rsidR="00CF52F4">
        <w:rPr>
          <w:rFonts w:cs="Arial"/>
        </w:rPr>
        <w:t xml:space="preserve">  </w:t>
      </w:r>
    </w:p>
    <w:p w14:paraId="279C2F76" w14:textId="77777777" w:rsidR="006479D8" w:rsidRDefault="006479D8" w:rsidP="00F01A4B">
      <w:pPr>
        <w:pStyle w:val="Heading20"/>
      </w:pPr>
    </w:p>
    <w:p w14:paraId="4732FBB2" w14:textId="2087013A" w:rsidR="00F01A4B" w:rsidRDefault="00C95DFC" w:rsidP="00F01A4B">
      <w:pPr>
        <w:pStyle w:val="Heading20"/>
      </w:pPr>
      <w:r>
        <w:t xml:space="preserve">Other factors affecting the </w:t>
      </w:r>
      <w:r w:rsidR="00DB0396">
        <w:t xml:space="preserve">Employer </w:t>
      </w:r>
      <w:r>
        <w:t>Deficit Recovery Plan</w:t>
      </w:r>
      <w:r w:rsidR="00147856">
        <w:t>s</w:t>
      </w:r>
    </w:p>
    <w:p w14:paraId="09EEC83D" w14:textId="22E32989" w:rsidR="00F01A4B" w:rsidRPr="00DB7350" w:rsidRDefault="00F01A4B" w:rsidP="00F01A4B">
      <w:pPr>
        <w:pStyle w:val="DocumentText"/>
      </w:pPr>
      <w:r w:rsidRPr="00966D29">
        <w:t>As part of the process of agreeing funding plans with individual employers, the Administering Authority will consider the use of contingent assets and other tools such as bonds or guarantees that could assist employing bodies in m</w:t>
      </w:r>
      <w:r w:rsidRPr="00DB7350">
        <w:t xml:space="preserve">anaging the cost of their liabilities or could provide the </w:t>
      </w:r>
      <w:r w:rsidR="00177D13" w:rsidRPr="00DB7350">
        <w:rPr>
          <w:rFonts w:cs="Arial"/>
        </w:rPr>
        <w:t>Fund</w:t>
      </w:r>
      <w:r w:rsidRPr="00DB7350">
        <w:t xml:space="preserve"> with greater security against out</w:t>
      </w:r>
      <w:r w:rsidR="006479D8" w:rsidRPr="00DB7350">
        <w:t>standing liabilities.  All other things equal</w:t>
      </w:r>
      <w:r w:rsidRPr="00DB7350">
        <w:t xml:space="preserve"> this could result in a longer recover</w:t>
      </w:r>
      <w:r w:rsidR="006479D8" w:rsidRPr="00DB7350">
        <w:t>y</w:t>
      </w:r>
      <w:r w:rsidRPr="00DB7350">
        <w:t xml:space="preserve"> period being acceptable to the Administering Authority</w:t>
      </w:r>
      <w:r w:rsidR="006479D8" w:rsidRPr="00DB7350">
        <w:t>, although employers will still be expected to at least cover expected interest costs on the deficit</w:t>
      </w:r>
      <w:r w:rsidRPr="00DB7350">
        <w:t>.</w:t>
      </w:r>
    </w:p>
    <w:p w14:paraId="5FADF315" w14:textId="32762816" w:rsidR="00F341EC" w:rsidRPr="00966D29" w:rsidRDefault="00F341EC" w:rsidP="00F341EC">
      <w:pPr>
        <w:tabs>
          <w:tab w:val="left" w:pos="0"/>
        </w:tabs>
        <w:rPr>
          <w:szCs w:val="22"/>
        </w:rPr>
      </w:pPr>
      <w:r w:rsidRPr="00DB7350">
        <w:rPr>
          <w:szCs w:val="22"/>
        </w:rPr>
        <w:t>It is acknowledged by the Administering</w:t>
      </w:r>
      <w:r w:rsidRPr="00966D29">
        <w:rPr>
          <w:szCs w:val="22"/>
        </w:rPr>
        <w:t xml:space="preserve"> Authority that, whilst posing a relatively low risk to the </w:t>
      </w:r>
      <w:r w:rsidR="00177D13">
        <w:rPr>
          <w:rFonts w:cs="Arial"/>
        </w:rPr>
        <w:t>Fund</w:t>
      </w:r>
      <w:r w:rsidRPr="00966D29">
        <w:rPr>
          <w:szCs w:val="22"/>
        </w:rPr>
        <w:t xml:space="preserve"> as a whole, a number of smaller employers may be faced with significant contribution increases that could seriously affect their ability to function in </w:t>
      </w:r>
      <w:r w:rsidRPr="00DB7350">
        <w:rPr>
          <w:szCs w:val="22"/>
        </w:rPr>
        <w:t xml:space="preserve">the future.  </w:t>
      </w:r>
      <w:r w:rsidRPr="006F78CE">
        <w:rPr>
          <w:szCs w:val="22"/>
        </w:rPr>
        <w:t>The Administering Authority therefore</w:t>
      </w:r>
      <w:r w:rsidR="00CB4015" w:rsidRPr="006F78CE">
        <w:rPr>
          <w:szCs w:val="22"/>
        </w:rPr>
        <w:t xml:space="preserve"> </w:t>
      </w:r>
      <w:r w:rsidRPr="006F78CE">
        <w:rPr>
          <w:szCs w:val="22"/>
        </w:rPr>
        <w:t xml:space="preserve">would be willing to use its discretion to accept an evidenced based affordable level of contributions for the organisation for the three years 2017/2020.  Any application of this option is at the ultimate discretion of the </w:t>
      </w:r>
      <w:r w:rsidR="006F78CE" w:rsidRPr="006F78CE">
        <w:rPr>
          <w:szCs w:val="22"/>
        </w:rPr>
        <w:t>Head of the Fund</w:t>
      </w:r>
      <w:r w:rsidR="00133B27" w:rsidRPr="006F78CE">
        <w:rPr>
          <w:szCs w:val="22"/>
        </w:rPr>
        <w:t xml:space="preserve"> in order to effectively manage risk across the </w:t>
      </w:r>
      <w:r w:rsidR="00177D13" w:rsidRPr="006F78CE">
        <w:rPr>
          <w:szCs w:val="22"/>
        </w:rPr>
        <w:t>Fund</w:t>
      </w:r>
      <w:r w:rsidR="00CB4015" w:rsidRPr="00DB7350">
        <w:rPr>
          <w:szCs w:val="22"/>
        </w:rPr>
        <w:t>.</w:t>
      </w:r>
      <w:r w:rsidRPr="00DB7350">
        <w:rPr>
          <w:szCs w:val="22"/>
        </w:rPr>
        <w:t xml:space="preserve"> </w:t>
      </w:r>
      <w:r w:rsidR="00CB4015" w:rsidRPr="00DB7350">
        <w:rPr>
          <w:szCs w:val="22"/>
        </w:rPr>
        <w:t>It</w:t>
      </w:r>
      <w:r w:rsidRPr="00DB7350">
        <w:rPr>
          <w:szCs w:val="22"/>
        </w:rPr>
        <w:t xml:space="preserve"> will only be considered after the provision of the appropriate evidence as part of the covenant assessment and also the ap</w:t>
      </w:r>
      <w:r w:rsidRPr="00966D29">
        <w:rPr>
          <w:szCs w:val="22"/>
        </w:rPr>
        <w:t>propriate professional advice.</w:t>
      </w:r>
    </w:p>
    <w:p w14:paraId="7E74E1A0" w14:textId="4A2E0ED6" w:rsidR="00F01A4B" w:rsidRPr="00966D29" w:rsidRDefault="00F01A4B" w:rsidP="00F01A4B">
      <w:pPr>
        <w:spacing w:after="120"/>
        <w:jc w:val="both"/>
        <w:rPr>
          <w:rFonts w:cs="Arial"/>
        </w:rPr>
      </w:pPr>
      <w:r w:rsidRPr="00966D29">
        <w:rPr>
          <w:rFonts w:cs="Arial"/>
        </w:rPr>
        <w:t xml:space="preserve">For those bodies </w:t>
      </w:r>
      <w:r w:rsidR="00CB4015" w:rsidRPr="00966D29">
        <w:rPr>
          <w:rFonts w:cs="Arial"/>
        </w:rPr>
        <w:t xml:space="preserve">identified as having </w:t>
      </w:r>
      <w:r w:rsidRPr="00966D29">
        <w:rPr>
          <w:rFonts w:cs="Arial"/>
        </w:rPr>
        <w:t xml:space="preserve">a weaker covenant, the Administering Authority will need to balance the </w:t>
      </w:r>
      <w:r w:rsidR="00CB4015" w:rsidRPr="00966D29">
        <w:rPr>
          <w:rFonts w:cs="Arial"/>
        </w:rPr>
        <w:t xml:space="preserve">level of risk plus the </w:t>
      </w:r>
      <w:r w:rsidRPr="00966D29">
        <w:rPr>
          <w:rFonts w:cs="Arial"/>
        </w:rPr>
        <w:t xml:space="preserve">solvency requirements of the </w:t>
      </w:r>
      <w:r w:rsidR="00177D13">
        <w:rPr>
          <w:rFonts w:cs="Arial"/>
        </w:rPr>
        <w:t>Fund</w:t>
      </w:r>
      <w:r w:rsidRPr="00966D29">
        <w:rPr>
          <w:rFonts w:cs="Arial"/>
        </w:rPr>
        <w:t xml:space="preserve"> with the sustainability of the organisation </w:t>
      </w:r>
      <w:r w:rsidR="006479D8" w:rsidRPr="00966D29">
        <w:rPr>
          <w:rFonts w:cs="Arial"/>
        </w:rPr>
        <w:t>when agreeing funding plans.  As</w:t>
      </w:r>
      <w:r w:rsidRPr="00966D29">
        <w:rPr>
          <w:rFonts w:cs="Arial"/>
        </w:rPr>
        <w:t xml:space="preserve"> a minimum, the annual deficit payment must meet the on-going interest costs to ensure, everything else being equal, that the deficit does not increase in monetary terms.</w:t>
      </w:r>
    </w:p>
    <w:p w14:paraId="6500A8DD" w14:textId="77777777" w:rsidR="00F01A4B" w:rsidRPr="00955A1B" w:rsidRDefault="00F01A4B" w:rsidP="00F01A4B">
      <w:pPr>
        <w:spacing w:after="120"/>
        <w:jc w:val="both"/>
        <w:rPr>
          <w:rFonts w:cs="Arial"/>
        </w:rPr>
      </w:pPr>
      <w:r w:rsidRPr="00966D29">
        <w:rPr>
          <w:rFonts w:cs="Arial"/>
        </w:rPr>
        <w:t>Notwithstanding the above, the Administering Authority, in consultation with the actuary, has also had to consider whether any exceptional arrangements should apply in particular cases.</w:t>
      </w:r>
    </w:p>
    <w:p w14:paraId="505EB41C" w14:textId="77777777" w:rsidR="00CD4142" w:rsidRDefault="00CD4142" w:rsidP="008067F7">
      <w:pPr>
        <w:rPr>
          <w:lang w:val="en-GB"/>
        </w:rPr>
      </w:pPr>
    </w:p>
    <w:p w14:paraId="396670D0" w14:textId="77777777" w:rsidR="00CE5E97" w:rsidRDefault="00CE5E97" w:rsidP="008067F7">
      <w:pPr>
        <w:rPr>
          <w:lang w:val="en-GB"/>
        </w:rPr>
      </w:pPr>
    </w:p>
    <w:p w14:paraId="41302D8B" w14:textId="7AD7E46F" w:rsidR="00CE5E97" w:rsidRDefault="00CE5E97" w:rsidP="00CE5E97">
      <w:pPr>
        <w:pStyle w:val="AppendixTitle"/>
        <w:rPr>
          <w:lang w:val="en-GB"/>
        </w:rPr>
      </w:pPr>
      <w:r w:rsidRPr="000B3D58">
        <w:rPr>
          <w:lang w:val="en-GB"/>
        </w:rPr>
        <w:t xml:space="preserve">Appendix </w:t>
      </w:r>
      <w:r>
        <w:rPr>
          <w:lang w:val="en-GB"/>
        </w:rPr>
        <w:t>C</w:t>
      </w:r>
      <w:r w:rsidRPr="000B3D58">
        <w:rPr>
          <w:lang w:val="en-GB"/>
        </w:rPr>
        <w:t xml:space="preserve"> - </w:t>
      </w:r>
      <w:r w:rsidR="0099195B">
        <w:rPr>
          <w:lang w:val="en-GB"/>
        </w:rPr>
        <w:t>ILL-HEALTH CAPTIVE FOR SMALL EMPLOYERS</w:t>
      </w:r>
    </w:p>
    <w:p w14:paraId="7A87ECF7" w14:textId="77777777" w:rsidR="00597D55" w:rsidRDefault="00597D55" w:rsidP="00B80750">
      <w:pPr>
        <w:pStyle w:val="DocumentText"/>
        <w:spacing w:before="60"/>
        <w:rPr>
          <w:caps/>
          <w:color w:val="00A8C8" w:themeColor="accent2"/>
          <w:spacing w:val="40"/>
          <w:position w:val="-6"/>
          <w:sz w:val="36"/>
          <w:szCs w:val="36"/>
          <w14:textOutline w14:w="0" w14:cap="rnd" w14:cmpd="sng" w14:algn="ctr">
            <w14:solidFill>
              <w14:srgbClr w14:val="000000"/>
            </w14:solidFill>
            <w14:prstDash w14:val="solid"/>
            <w14:bevel/>
          </w14:textOutline>
        </w:rPr>
      </w:pPr>
    </w:p>
    <w:p w14:paraId="7AEAAF0B" w14:textId="168F231D" w:rsidR="00855C2B" w:rsidRPr="00F030E8" w:rsidRDefault="00855C2B" w:rsidP="00855C2B">
      <w:pPr>
        <w:rPr>
          <w:b/>
          <w:color w:val="FF0000"/>
          <w:lang w:val="en-GB"/>
        </w:rPr>
      </w:pPr>
    </w:p>
    <w:p w14:paraId="65FC30F8" w14:textId="77777777" w:rsidR="00725995" w:rsidRPr="00CD7F41" w:rsidRDefault="00725995" w:rsidP="00725995">
      <w:pPr>
        <w:pStyle w:val="Heading10"/>
        <w:rPr>
          <w:lang w:val="en-GB"/>
        </w:rPr>
      </w:pPr>
      <w:r w:rsidRPr="00CD7F41">
        <w:rPr>
          <w:lang w:val="en-GB"/>
        </w:rPr>
        <w:t>OVERVIEW</w:t>
      </w:r>
    </w:p>
    <w:p w14:paraId="16EF864B" w14:textId="4D6FB582" w:rsidR="00725995" w:rsidRPr="00CD7F41" w:rsidRDefault="00725995" w:rsidP="00725995">
      <w:pPr>
        <w:rPr>
          <w:lang w:val="en-GB"/>
        </w:rPr>
      </w:pPr>
      <w:r>
        <w:rPr>
          <w:lang w:val="en-GB"/>
        </w:rPr>
        <w:t>F</w:t>
      </w:r>
      <w:r w:rsidRPr="00CD7F41">
        <w:rPr>
          <w:lang w:val="en-GB"/>
        </w:rPr>
        <w:t xml:space="preserve">or certain employers in the Fund, following discussions with the Fund Actuary and after considering potential alternative insurance arrangements, a captive insurance arrangement </w:t>
      </w:r>
      <w:r>
        <w:rPr>
          <w:lang w:val="en-GB"/>
        </w:rPr>
        <w:t xml:space="preserve">is to be </w:t>
      </w:r>
      <w:r w:rsidRPr="00CD7F41">
        <w:rPr>
          <w:lang w:val="en-GB"/>
        </w:rPr>
        <w:t>established by the administering authority to cover ill-health retirement costs</w:t>
      </w:r>
      <w:r>
        <w:rPr>
          <w:lang w:val="en-GB"/>
        </w:rPr>
        <w:t xml:space="preserve">.  This will apply for all ill-health retirements </w:t>
      </w:r>
      <w:r w:rsidRPr="00CD7F41">
        <w:rPr>
          <w:lang w:val="en-GB"/>
        </w:rPr>
        <w:t xml:space="preserve">from 1 </w:t>
      </w:r>
      <w:r>
        <w:rPr>
          <w:lang w:val="en-GB"/>
        </w:rPr>
        <w:t xml:space="preserve">April 2016.  </w:t>
      </w:r>
    </w:p>
    <w:p w14:paraId="7DFFA9CF" w14:textId="77777777" w:rsidR="00725995" w:rsidRPr="00CD7F41" w:rsidRDefault="00725995" w:rsidP="00725995">
      <w:pPr>
        <w:rPr>
          <w:lang w:val="en-GB"/>
        </w:rPr>
      </w:pPr>
      <w:r w:rsidRPr="00CD7F41">
        <w:rPr>
          <w:lang w:val="en-GB"/>
        </w:rPr>
        <w:t>The captive arrangement operates as follows:</w:t>
      </w:r>
    </w:p>
    <w:p w14:paraId="54225DBD" w14:textId="284F3233" w:rsidR="00725995" w:rsidRPr="00CD7F41" w:rsidRDefault="00725995" w:rsidP="00725995">
      <w:pPr>
        <w:numPr>
          <w:ilvl w:val="0"/>
          <w:numId w:val="33"/>
        </w:numPr>
        <w:rPr>
          <w:lang w:val="en-GB"/>
        </w:rPr>
      </w:pPr>
      <w:r w:rsidRPr="00CD7F41">
        <w:rPr>
          <w:lang w:val="en-GB"/>
        </w:rPr>
        <w:t>“Premiums” are paid by the eligible employers into a captive fund which is tracked separately by the Fund Actuary in the valuation calculations.</w:t>
      </w:r>
      <w:r>
        <w:rPr>
          <w:lang w:val="en-GB"/>
        </w:rPr>
        <w:t xml:space="preserve">  The premiums are included in the employer</w:t>
      </w:r>
      <w:r w:rsidR="00007C54">
        <w:rPr>
          <w:lang w:val="en-GB"/>
        </w:rPr>
        <w:t>’</w:t>
      </w:r>
      <w:r>
        <w:rPr>
          <w:lang w:val="en-GB"/>
        </w:rPr>
        <w:t>s future service % contribution rate.</w:t>
      </w:r>
      <w:r w:rsidR="00C63073">
        <w:rPr>
          <w:lang w:val="en-GB"/>
        </w:rPr>
        <w:t xml:space="preserve">  The premium for 2017/20 is 1.5% pa.  </w:t>
      </w:r>
      <w:r>
        <w:rPr>
          <w:lang w:val="en-GB"/>
        </w:rPr>
        <w:t xml:space="preserve">   </w:t>
      </w:r>
    </w:p>
    <w:p w14:paraId="4572F8F2" w14:textId="77777777" w:rsidR="00725995" w:rsidRPr="00CD7F41" w:rsidRDefault="00725995" w:rsidP="00725995">
      <w:pPr>
        <w:numPr>
          <w:ilvl w:val="0"/>
          <w:numId w:val="33"/>
        </w:numPr>
        <w:rPr>
          <w:lang w:val="en-GB"/>
        </w:rPr>
      </w:pPr>
      <w:r w:rsidRPr="00CD7F41">
        <w:rPr>
          <w:lang w:val="en-GB"/>
        </w:rPr>
        <w:t>The captive fund is then used to meet strain costs emerging from ill-health retirements i.e. there is no impact on funding position for employers within the captive</w:t>
      </w:r>
    </w:p>
    <w:p w14:paraId="66C53B39" w14:textId="2CFE3F0E" w:rsidR="00725995" w:rsidRPr="00CD7F41" w:rsidRDefault="00725995" w:rsidP="00725995">
      <w:pPr>
        <w:numPr>
          <w:ilvl w:val="0"/>
          <w:numId w:val="33"/>
        </w:numPr>
        <w:rPr>
          <w:lang w:val="en-GB"/>
        </w:rPr>
      </w:pPr>
      <w:r w:rsidRPr="00CD7F41">
        <w:rPr>
          <w:lang w:val="en-GB"/>
        </w:rPr>
        <w:t>Any shortfall in the captive fund is effectively underwritten by all other employers within the Fund. If any excess funds are built up in the Captive, some or all of those excess funds will be held in reserve to act as a contingency against future adverse experience at the discretion of the administering authority based on the advice of the actuary,</w:t>
      </w:r>
    </w:p>
    <w:p w14:paraId="377DD558" w14:textId="77777777" w:rsidR="00725995" w:rsidRPr="00CD7F41" w:rsidRDefault="00725995" w:rsidP="00725995">
      <w:pPr>
        <w:numPr>
          <w:ilvl w:val="0"/>
          <w:numId w:val="33"/>
        </w:numPr>
        <w:rPr>
          <w:lang w:val="en-GB"/>
        </w:rPr>
      </w:pPr>
      <w:r w:rsidRPr="00CD7F41">
        <w:rPr>
          <w:lang w:val="en-GB"/>
        </w:rPr>
        <w:t>Premiums payable subject to review from valuation to valuation depending on experience and included in employer rates.</w:t>
      </w:r>
    </w:p>
    <w:p w14:paraId="716E706D" w14:textId="77777777" w:rsidR="00725995" w:rsidRPr="00CD7F41" w:rsidRDefault="00725995" w:rsidP="00725995">
      <w:pPr>
        <w:numPr>
          <w:ilvl w:val="0"/>
          <w:numId w:val="33"/>
        </w:numPr>
        <w:rPr>
          <w:lang w:val="en-GB"/>
        </w:rPr>
      </w:pPr>
      <w:r w:rsidRPr="00CD7F41">
        <w:rPr>
          <w:lang w:val="en-GB"/>
        </w:rPr>
        <w:t>Over the longer-term, given the regular review of the premiums payable into the Captive fund there would be expected to be no net cost to those employers underwriting the Captive Fund in the long-term i.e. any fluctuations in their own contribution requirements arising from experience would smooth out over time.</w:t>
      </w:r>
    </w:p>
    <w:p w14:paraId="34DBEF2C" w14:textId="77777777" w:rsidR="00725995" w:rsidRPr="00CD7F41" w:rsidRDefault="00725995" w:rsidP="00725995">
      <w:pPr>
        <w:pStyle w:val="Heading10"/>
        <w:rPr>
          <w:lang w:val="en-GB"/>
        </w:rPr>
      </w:pPr>
      <w:r w:rsidRPr="00CD7F41">
        <w:rPr>
          <w:lang w:val="en-GB"/>
        </w:rPr>
        <w:t>employers</w:t>
      </w:r>
    </w:p>
    <w:p w14:paraId="7DA3C969" w14:textId="33D4FB34" w:rsidR="00725995" w:rsidRPr="00CD7F41" w:rsidRDefault="00725995" w:rsidP="00007C54">
      <w:pPr>
        <w:rPr>
          <w:lang w:val="en-GB"/>
        </w:rPr>
      </w:pPr>
      <w:r w:rsidRPr="00CD7F41">
        <w:rPr>
          <w:lang w:val="en-GB"/>
        </w:rPr>
        <w:t xml:space="preserve">Those employers (both existing and new) </w:t>
      </w:r>
      <w:r w:rsidR="00007C54">
        <w:rPr>
          <w:lang w:val="en-GB"/>
        </w:rPr>
        <w:t xml:space="preserve">that will be included in the captive are those with less than </w:t>
      </w:r>
      <w:r w:rsidR="00DC1C9F">
        <w:rPr>
          <w:lang w:val="en-GB"/>
        </w:rPr>
        <w:t>1</w:t>
      </w:r>
      <w:r w:rsidR="00C63073">
        <w:rPr>
          <w:lang w:val="en-GB"/>
        </w:rPr>
        <w:t>5</w:t>
      </w:r>
      <w:r w:rsidR="00007C54">
        <w:rPr>
          <w:lang w:val="en-GB"/>
        </w:rPr>
        <w:t>0 active members</w:t>
      </w:r>
      <w:r w:rsidR="00C63073">
        <w:rPr>
          <w:lang w:val="en-GB"/>
        </w:rPr>
        <w:t xml:space="preserve"> (excluding major Councils)</w:t>
      </w:r>
      <w:r w:rsidR="00007C54">
        <w:rPr>
          <w:lang w:val="en-GB"/>
        </w:rPr>
        <w:t xml:space="preserve">.  </w:t>
      </w:r>
    </w:p>
    <w:p w14:paraId="3FDDAB9A" w14:textId="77777777" w:rsidR="00725995" w:rsidRPr="00CD7F41" w:rsidRDefault="00725995" w:rsidP="00725995">
      <w:pPr>
        <w:rPr>
          <w:lang w:val="en-GB"/>
        </w:rPr>
      </w:pPr>
      <w:r w:rsidRPr="00CD7F41">
        <w:rPr>
          <w:lang w:val="en-GB"/>
        </w:rPr>
        <w:t>For all other employers who do not form part of the captive arrangement, the current treatment of ill-health retirements would still apply i.e. the Fund continues to monitor ill-health retirement strain costs incurred against allowance certified with recovery of any excess costs from the employer once the allowance is exceeded.</w:t>
      </w:r>
    </w:p>
    <w:p w14:paraId="360CF854" w14:textId="77777777" w:rsidR="00725995" w:rsidRPr="00CD7F41" w:rsidRDefault="00725995" w:rsidP="00725995">
      <w:pPr>
        <w:pStyle w:val="Heading10"/>
        <w:rPr>
          <w:lang w:val="en-GB"/>
        </w:rPr>
      </w:pPr>
    </w:p>
    <w:p w14:paraId="2A9F9000" w14:textId="77777777" w:rsidR="00725995" w:rsidRPr="00CD7F41" w:rsidRDefault="00725995" w:rsidP="00725995">
      <w:pPr>
        <w:pStyle w:val="Heading10"/>
        <w:rPr>
          <w:lang w:val="en-GB"/>
        </w:rPr>
      </w:pPr>
    </w:p>
    <w:p w14:paraId="46640F8A" w14:textId="77777777" w:rsidR="00725995" w:rsidRPr="00CD7F41" w:rsidRDefault="00725995" w:rsidP="00725995">
      <w:pPr>
        <w:pStyle w:val="Heading10"/>
        <w:rPr>
          <w:lang w:val="en-GB"/>
        </w:rPr>
      </w:pPr>
    </w:p>
    <w:p w14:paraId="07B4FC2D" w14:textId="77777777" w:rsidR="00725995" w:rsidRPr="00CD7F41" w:rsidRDefault="00725995" w:rsidP="00725995">
      <w:pPr>
        <w:pStyle w:val="Heading10"/>
        <w:rPr>
          <w:lang w:val="en-GB"/>
        </w:rPr>
      </w:pPr>
      <w:r w:rsidRPr="00CD7F41">
        <w:rPr>
          <w:lang w:val="en-GB"/>
        </w:rPr>
        <w:t>PREMIUM REVIEW</w:t>
      </w:r>
    </w:p>
    <w:p w14:paraId="453AF20F" w14:textId="77777777" w:rsidR="00725995" w:rsidRPr="00CD7F41" w:rsidRDefault="00725995" w:rsidP="00725995">
      <w:pPr>
        <w:pStyle w:val="Bullet1"/>
        <w:numPr>
          <w:ilvl w:val="0"/>
          <w:numId w:val="0"/>
        </w:numPr>
        <w:ind w:left="288" w:hanging="288"/>
        <w:rPr>
          <w:lang w:val="en-GB"/>
        </w:rPr>
      </w:pPr>
    </w:p>
    <w:p w14:paraId="01650DA2" w14:textId="77777777" w:rsidR="00725995" w:rsidRPr="00CD7F41" w:rsidRDefault="00725995" w:rsidP="00725995">
      <w:pPr>
        <w:rPr>
          <w:lang w:val="en-GB"/>
        </w:rPr>
      </w:pPr>
      <w:r w:rsidRPr="00CD7F41">
        <w:rPr>
          <w:lang w:val="en-GB"/>
        </w:rPr>
        <w:t>As part of the each actuarial valuation exercise (or earlier review if appropriate) the Fund Actuary will review the experience of the captive fund since the last review.</w:t>
      </w:r>
    </w:p>
    <w:p w14:paraId="1CC8ADB6" w14:textId="77777777" w:rsidR="00725995" w:rsidRPr="00CD7F41" w:rsidRDefault="00725995" w:rsidP="00725995">
      <w:pPr>
        <w:rPr>
          <w:lang w:val="en-GB"/>
        </w:rPr>
      </w:pPr>
      <w:r w:rsidRPr="00CD7F41">
        <w:rPr>
          <w:lang w:val="en-GB"/>
        </w:rPr>
        <w:t>Should the premiums paid into the captive fund over the period not be sufficient to cover the ill-health retirement costs emerging, any shortfall in the fund will be allocated across all those employers within the Fund underwriting the captive.  If any excess funds are built up in the Captive, some or all of those excess funds will be held in reserve to act as a contingency against future adverse experience at the discretion of the administering authority based on the advice of the actuary.</w:t>
      </w:r>
    </w:p>
    <w:p w14:paraId="59BCD8E3" w14:textId="77777777" w:rsidR="00725995" w:rsidRDefault="00725995" w:rsidP="00725995">
      <w:pPr>
        <w:rPr>
          <w:lang w:val="en-GB"/>
        </w:rPr>
      </w:pPr>
      <w:r w:rsidRPr="00CD7F41">
        <w:rPr>
          <w:lang w:val="en-GB"/>
        </w:rPr>
        <w:t>The ongoing premium payable by those employers within the captive fund will also be assessed as part of this process and will be set by the Actuary to cover the period until the next review (e.g. to the next actuarial valuation assessment). The Premiums that will be assessed will take into account the expected level of future ill-health retirements across those employers within the captive and also to reflect any adverse/favourable experience where appropriate.</w:t>
      </w:r>
    </w:p>
    <w:p w14:paraId="1A6128A4" w14:textId="77777777" w:rsidR="00855C2B" w:rsidRDefault="00855C2B" w:rsidP="000C5337">
      <w:pPr>
        <w:rPr>
          <w:lang w:val="en-GB"/>
        </w:rPr>
      </w:pPr>
    </w:p>
    <w:p w14:paraId="5397F741" w14:textId="50A34A6F" w:rsidR="000B3D58" w:rsidRPr="00F030E8" w:rsidRDefault="000B3D58" w:rsidP="008067F7">
      <w:pPr>
        <w:rPr>
          <w:b/>
          <w:color w:val="FF0000"/>
          <w:lang w:val="en-GB"/>
        </w:rPr>
      </w:pPr>
    </w:p>
    <w:p w14:paraId="6B7CC5E3" w14:textId="77777777" w:rsidR="000B3D58" w:rsidRDefault="000B3D58" w:rsidP="008067F7">
      <w:pPr>
        <w:rPr>
          <w:lang w:val="en-GB"/>
        </w:rPr>
      </w:pPr>
    </w:p>
    <w:p w14:paraId="518B4A1C" w14:textId="77777777" w:rsidR="00CD4142" w:rsidRDefault="00CD4142" w:rsidP="008067F7">
      <w:pPr>
        <w:rPr>
          <w:lang w:val="en-GB"/>
        </w:rPr>
      </w:pPr>
    </w:p>
    <w:p w14:paraId="4CC7D36C" w14:textId="77777777" w:rsidR="00CD4142" w:rsidRDefault="00CD4142" w:rsidP="008067F7">
      <w:pPr>
        <w:rPr>
          <w:lang w:val="en-GB"/>
        </w:rPr>
      </w:pPr>
    </w:p>
    <w:p w14:paraId="2906ACC7" w14:textId="77777777" w:rsidR="00CD4142" w:rsidRDefault="00CD4142" w:rsidP="008067F7">
      <w:pPr>
        <w:rPr>
          <w:lang w:val="en-GB"/>
        </w:rPr>
      </w:pPr>
    </w:p>
    <w:p w14:paraId="001F2045" w14:textId="77777777" w:rsidR="00CD4142" w:rsidRDefault="00CD4142" w:rsidP="008067F7">
      <w:pPr>
        <w:rPr>
          <w:lang w:val="en-GB"/>
        </w:rPr>
      </w:pPr>
    </w:p>
    <w:p w14:paraId="45259F9A" w14:textId="77777777" w:rsidR="00CD4142" w:rsidRDefault="00CD4142" w:rsidP="008067F7">
      <w:pPr>
        <w:rPr>
          <w:lang w:val="en-GB"/>
        </w:rPr>
      </w:pPr>
    </w:p>
    <w:p w14:paraId="4F68BB0D" w14:textId="77777777" w:rsidR="00CD4142" w:rsidRDefault="00CD4142" w:rsidP="008067F7">
      <w:pPr>
        <w:rPr>
          <w:lang w:val="en-GB"/>
        </w:rPr>
      </w:pPr>
    </w:p>
    <w:p w14:paraId="7FDCBD5B" w14:textId="77777777" w:rsidR="00CD4142" w:rsidRDefault="00CD4142" w:rsidP="008067F7">
      <w:pPr>
        <w:rPr>
          <w:lang w:val="en-GB"/>
        </w:rPr>
      </w:pPr>
    </w:p>
    <w:p w14:paraId="1F8BDA89" w14:textId="77777777" w:rsidR="002810BD" w:rsidRDefault="002810BD" w:rsidP="00CD4142">
      <w:pPr>
        <w:spacing w:after="120"/>
        <w:jc w:val="both"/>
        <w:rPr>
          <w:rFonts w:cs="Arial"/>
        </w:rPr>
      </w:pPr>
    </w:p>
    <w:p w14:paraId="525951E1" w14:textId="77777777" w:rsidR="00CD4142" w:rsidRDefault="00CD4142" w:rsidP="008067F7">
      <w:pPr>
        <w:rPr>
          <w:lang w:val="en-GB"/>
        </w:rPr>
      </w:pPr>
    </w:p>
    <w:p w14:paraId="6DC119E7" w14:textId="77777777" w:rsidR="002C640E" w:rsidRDefault="002C640E" w:rsidP="002C640E"/>
    <w:p w14:paraId="622752AE" w14:textId="77777777" w:rsidR="00804AD4" w:rsidRDefault="00804AD4" w:rsidP="002C640E">
      <w:pPr>
        <w:rPr>
          <w:lang w:val="en-GB"/>
        </w:rPr>
      </w:pPr>
    </w:p>
    <w:p w14:paraId="199BBAE0" w14:textId="17AABD0C" w:rsidR="00804AD4" w:rsidRDefault="00804AD4" w:rsidP="00804AD4">
      <w:pPr>
        <w:pStyle w:val="AppendixTitle"/>
        <w:rPr>
          <w:lang w:val="en-GB"/>
        </w:rPr>
      </w:pPr>
      <w:r>
        <w:rPr>
          <w:lang w:val="en-GB"/>
        </w:rPr>
        <w:t xml:space="preserve">APPENDIX </w:t>
      </w:r>
      <w:r w:rsidR="00725995">
        <w:rPr>
          <w:lang w:val="en-GB"/>
        </w:rPr>
        <w:t xml:space="preserve">d </w:t>
      </w:r>
      <w:r>
        <w:rPr>
          <w:lang w:val="en-GB"/>
        </w:rPr>
        <w:t>- Glossary</w:t>
      </w:r>
    </w:p>
    <w:p w14:paraId="240BB046" w14:textId="77777777" w:rsidR="002C640E" w:rsidRDefault="002C640E" w:rsidP="002C640E">
      <w:pPr>
        <w:rPr>
          <w:lang w:val="en-GB"/>
        </w:rPr>
      </w:pPr>
    </w:p>
    <w:p w14:paraId="37D88D8A" w14:textId="56F4F5DE" w:rsidR="00AC6C5C" w:rsidRDefault="00AC6C5C" w:rsidP="00AC6C5C">
      <w:pPr>
        <w:pStyle w:val="DocumentText"/>
        <w:rPr>
          <w:color w:val="auto"/>
          <w:lang w:val="en-GB"/>
        </w:rPr>
      </w:pPr>
      <w:r w:rsidRPr="00A204D0">
        <w:rPr>
          <w:rStyle w:val="QuoteChar"/>
        </w:rPr>
        <w:t>Actuarial Valuation:</w:t>
      </w:r>
      <w:r w:rsidRPr="00F85F95">
        <w:rPr>
          <w:caps/>
          <w:color w:val="993366"/>
          <w:spacing w:val="30"/>
          <w:szCs w:val="26"/>
          <w:lang w:val="en-GB"/>
        </w:rPr>
        <w:t xml:space="preserve"> </w:t>
      </w:r>
      <w:r w:rsidRPr="00A204D0">
        <w:t xml:space="preserve">an investigation by an actuary into the ability of the </w:t>
      </w:r>
      <w:r w:rsidR="00177D13">
        <w:rPr>
          <w:rFonts w:cs="Arial"/>
        </w:rPr>
        <w:t>Fund</w:t>
      </w:r>
      <w:r w:rsidRPr="00A204D0">
        <w:t xml:space="preserve"> to meet its liabilities. For the LGPS the Fund Actuary will assess the funding level of each participating employer and agree contribution rates with the administering authority to fund the cost of new benefits and make good any existing deficits as set out in the separate Funding Strategy Statement. The asset value is based on market values at the valuation date.</w:t>
      </w:r>
    </w:p>
    <w:p w14:paraId="09BAB151" w14:textId="3EF3FFCA" w:rsidR="00AC6C5C" w:rsidRPr="007A1B5B" w:rsidRDefault="00AC6C5C" w:rsidP="00AC6C5C">
      <w:pPr>
        <w:rPr>
          <w:color w:val="auto"/>
          <w:szCs w:val="22"/>
          <w:lang w:val="en-GB"/>
        </w:rPr>
      </w:pPr>
      <w:r w:rsidRPr="00A204D0">
        <w:rPr>
          <w:rStyle w:val="QuoteChar"/>
        </w:rPr>
        <w:t>Administering Authority:</w:t>
      </w:r>
      <w:r>
        <w:rPr>
          <w:rStyle w:val="QuoteChar"/>
          <w:color w:val="993366"/>
        </w:rPr>
        <w:t xml:space="preserve"> </w:t>
      </w:r>
      <w:r w:rsidRPr="00A204D0">
        <w:rPr>
          <w:szCs w:val="22"/>
        </w:rPr>
        <w:t xml:space="preserve">the council with a statutory responsibility for running the </w:t>
      </w:r>
      <w:r w:rsidR="00177D13">
        <w:rPr>
          <w:rFonts w:cs="Arial"/>
        </w:rPr>
        <w:t>Fund</w:t>
      </w:r>
      <w:r w:rsidRPr="00A204D0">
        <w:rPr>
          <w:szCs w:val="22"/>
        </w:rPr>
        <w:t xml:space="preserve"> and that is responsible for all aspects of its management and operation.</w:t>
      </w:r>
    </w:p>
    <w:p w14:paraId="5A311D28" w14:textId="0A5EA4BB" w:rsidR="00AC6C5C" w:rsidRPr="00D85585" w:rsidRDefault="00AC6C5C" w:rsidP="00AC6C5C">
      <w:pPr>
        <w:rPr>
          <w:rFonts w:cs="Arial"/>
        </w:rPr>
      </w:pPr>
      <w:r w:rsidRPr="00A204D0">
        <w:rPr>
          <w:rStyle w:val="QuoteChar"/>
        </w:rPr>
        <w:t>Admission bodies:</w:t>
      </w:r>
      <w:r w:rsidRPr="00D85585">
        <w:rPr>
          <w:rFonts w:cs="Arial"/>
        </w:rPr>
        <w:t xml:space="preserve"> </w:t>
      </w:r>
      <w:r w:rsidRPr="00A204D0">
        <w:rPr>
          <w:szCs w:val="22"/>
        </w:rPr>
        <w:t xml:space="preserve">A specific type of employer under the Local Government Pension </w:t>
      </w:r>
      <w:r w:rsidR="009B64F3">
        <w:rPr>
          <w:szCs w:val="22"/>
        </w:rPr>
        <w:t>Scheme</w:t>
      </w:r>
      <w:r w:rsidR="009B64F3" w:rsidRPr="00A204D0">
        <w:rPr>
          <w:szCs w:val="22"/>
        </w:rPr>
        <w:t xml:space="preserve"> </w:t>
      </w:r>
      <w:r w:rsidRPr="00A204D0">
        <w:rPr>
          <w:szCs w:val="22"/>
        </w:rPr>
        <w:t>(</w:t>
      </w:r>
      <w:r w:rsidR="0092116C">
        <w:rPr>
          <w:szCs w:val="22"/>
        </w:rPr>
        <w:t>the “</w:t>
      </w:r>
      <w:r w:rsidRPr="00A204D0">
        <w:rPr>
          <w:szCs w:val="22"/>
        </w:rPr>
        <w:t>LGPS</w:t>
      </w:r>
      <w:r w:rsidR="0092116C">
        <w:rPr>
          <w:szCs w:val="22"/>
        </w:rPr>
        <w:t>”</w:t>
      </w:r>
      <w:r w:rsidRPr="00A204D0">
        <w:rPr>
          <w:szCs w:val="22"/>
        </w:rPr>
        <w:t xml:space="preserve">) who do not automatically qualify for participation in the </w:t>
      </w:r>
      <w:r w:rsidR="00177D13">
        <w:rPr>
          <w:rFonts w:cs="Arial"/>
        </w:rPr>
        <w:t>Fund</w:t>
      </w:r>
      <w:r w:rsidRPr="00A204D0">
        <w:rPr>
          <w:szCs w:val="22"/>
        </w:rPr>
        <w:t xml:space="preserve"> but are allowed to join if they satisfy the relevant criteria set out in the Regulations.</w:t>
      </w:r>
      <w:r w:rsidRPr="00D85585">
        <w:rPr>
          <w:rFonts w:cs="Arial"/>
        </w:rPr>
        <w:t xml:space="preserve"> </w:t>
      </w:r>
    </w:p>
    <w:p w14:paraId="2938723B" w14:textId="77777777" w:rsidR="00AC6C5C" w:rsidRPr="00A204D0" w:rsidRDefault="00AC6C5C" w:rsidP="00AC6C5C">
      <w:pPr>
        <w:pStyle w:val="DocumentText"/>
      </w:pPr>
      <w:r w:rsidRPr="00A204D0">
        <w:rPr>
          <w:rStyle w:val="QuoteChar"/>
        </w:rPr>
        <w:t>Benchmark:</w:t>
      </w:r>
      <w:r w:rsidRPr="00971F7C">
        <w:rPr>
          <w:color w:val="993366"/>
          <w:lang w:val="en-GB"/>
        </w:rPr>
        <w:t xml:space="preserve"> </w:t>
      </w:r>
      <w:r w:rsidRPr="00A204D0">
        <w:t>a measure against which fund performance is to be judged.</w:t>
      </w:r>
    </w:p>
    <w:p w14:paraId="75830E15" w14:textId="77777777" w:rsidR="00AC6C5C" w:rsidRPr="00971F7C" w:rsidRDefault="00AC6C5C" w:rsidP="00AC6C5C">
      <w:pPr>
        <w:pStyle w:val="DocumentText"/>
        <w:rPr>
          <w:color w:val="auto"/>
          <w:lang w:val="en-GB"/>
        </w:rPr>
      </w:pPr>
      <w:r w:rsidRPr="00A204D0">
        <w:rPr>
          <w:rStyle w:val="QuoteChar"/>
        </w:rPr>
        <w:t>Best Estimate Assumption:</w:t>
      </w:r>
      <w:r w:rsidRPr="00971F7C">
        <w:rPr>
          <w:color w:val="993366"/>
          <w:lang w:val="en-GB"/>
        </w:rPr>
        <w:t xml:space="preserve"> </w:t>
      </w:r>
      <w:r w:rsidRPr="00A204D0">
        <w:t>an assumption where the outcome has a 50/50 chance of being achieved.</w:t>
      </w:r>
    </w:p>
    <w:p w14:paraId="3FC034DD" w14:textId="77777777" w:rsidR="00AC6C5C" w:rsidRPr="00A204D0" w:rsidRDefault="00AC6C5C" w:rsidP="00AC6C5C">
      <w:pPr>
        <w:pStyle w:val="DocumentText"/>
      </w:pPr>
      <w:r w:rsidRPr="00A204D0">
        <w:rPr>
          <w:rStyle w:val="QuoteChar"/>
        </w:rPr>
        <w:t>Bonds:</w:t>
      </w:r>
      <w:r w:rsidRPr="00971F7C">
        <w:rPr>
          <w:color w:val="993366"/>
          <w:lang w:val="en-GB"/>
        </w:rPr>
        <w:t xml:space="preserve"> </w:t>
      </w:r>
      <w:r w:rsidRPr="00A204D0">
        <w:t>loans made to an issuer (often a government or a company) which undertakes to repay the loan at an agreed later date. The term refers generically to corporate bonds or government bonds (gilts).</w:t>
      </w:r>
    </w:p>
    <w:p w14:paraId="4BB8D814" w14:textId="77777777" w:rsidR="00AC6C5C" w:rsidRPr="00A204D0" w:rsidRDefault="00AC6C5C" w:rsidP="00AC6C5C">
      <w:pPr>
        <w:pStyle w:val="DocumentText"/>
      </w:pPr>
      <w:r w:rsidRPr="00A204D0">
        <w:rPr>
          <w:rStyle w:val="QuoteChar"/>
        </w:rPr>
        <w:t>Career Average Revalued Earnings Scheme (CARE):</w:t>
      </w:r>
      <w:r w:rsidRPr="00971F7C">
        <w:rPr>
          <w:color w:val="993366"/>
          <w:lang w:val="en-GB"/>
        </w:rPr>
        <w:t xml:space="preserve"> </w:t>
      </w:r>
      <w:r w:rsidRPr="00A204D0">
        <w:t xml:space="preserve">with effect from 1 April 2014, benefits accrued by members in the LGPS take the form of CARE benefits. Every year members will accrue a pension benefit equivalent to 1/49th of their pensionable pay in that year. Each annual pension accrued receives inflationary increases (in line with the annual change in the Consumer Prices Index) over the period to retirement. </w:t>
      </w:r>
    </w:p>
    <w:p w14:paraId="5D82ABE7" w14:textId="77777777" w:rsidR="00AC6C5C" w:rsidRPr="00A204D0" w:rsidRDefault="00AC6C5C" w:rsidP="00AC6C5C">
      <w:pPr>
        <w:pStyle w:val="DocumentText"/>
      </w:pPr>
      <w:r w:rsidRPr="00A204D0">
        <w:rPr>
          <w:rStyle w:val="QuoteChar"/>
        </w:rPr>
        <w:t>CPI:</w:t>
      </w:r>
      <w:r w:rsidRPr="00F85F95">
        <w:rPr>
          <w:color w:val="993366"/>
          <w:lang w:val="en-GB"/>
        </w:rPr>
        <w:t xml:space="preserve"> </w:t>
      </w:r>
      <w:r w:rsidRPr="00A204D0">
        <w:t>acronym standing for “Consumer Prices Index”. CPI is a measure of inflation with a basket of goods that is assessed on an annual basis. The reference goods and services differ from those of RPI. These goods are expected to provide lower, less volatile inflation increases. Pension increases in the LGPS are linked to the annual change in CPI.</w:t>
      </w:r>
    </w:p>
    <w:p w14:paraId="79099D46" w14:textId="77777777" w:rsidR="00AC6C5C" w:rsidRPr="00A204D0" w:rsidRDefault="00AC6C5C" w:rsidP="00AC6C5C">
      <w:pPr>
        <w:pStyle w:val="DocumentText"/>
      </w:pPr>
      <w:r w:rsidRPr="00A204D0">
        <w:rPr>
          <w:rStyle w:val="QuoteChar"/>
        </w:rPr>
        <w:t>Covenant:</w:t>
      </w:r>
      <w:r w:rsidRPr="00F85F95">
        <w:rPr>
          <w:color w:val="993366"/>
          <w:lang w:val="en-GB"/>
        </w:rPr>
        <w:t xml:space="preserve"> </w:t>
      </w:r>
      <w:r w:rsidRPr="00A204D0">
        <w:t>the assessed financial strength of the employer. A strong covenant indicates a greater ability (and willingness) to pay for pension obligations in the long run. A weaker covenant means that it appears that the employer may have difficulties meeting its pension obligations in full over the longer term or affordability constraints in the short term.</w:t>
      </w:r>
    </w:p>
    <w:p w14:paraId="00E376E7" w14:textId="77777777" w:rsidR="00AC6C5C" w:rsidRPr="00A204D0" w:rsidRDefault="00AC6C5C" w:rsidP="00AC6C5C">
      <w:pPr>
        <w:pStyle w:val="DocumentText"/>
      </w:pPr>
      <w:r w:rsidRPr="00A204D0">
        <w:rPr>
          <w:rStyle w:val="QuoteChar"/>
        </w:rPr>
        <w:t>Deficit:</w:t>
      </w:r>
      <w:r w:rsidRPr="00F85F95">
        <w:rPr>
          <w:color w:val="993366"/>
          <w:lang w:val="en-GB"/>
        </w:rPr>
        <w:t xml:space="preserve"> </w:t>
      </w:r>
      <w:r w:rsidRPr="00A204D0">
        <w:t>the extent to which the value of the Fund’s past service liabilities exceeds the value of the Fund’s assets. This relates to assets and liabilities built up to date, and ignores the future build-up of pension (which in effect is assumed to be met by future contributions).</w:t>
      </w:r>
    </w:p>
    <w:p w14:paraId="315521C2" w14:textId="77777777" w:rsidR="00AC6C5C" w:rsidRPr="00A204D0" w:rsidRDefault="00AC6C5C" w:rsidP="00AC6C5C">
      <w:pPr>
        <w:pStyle w:val="DocumentText"/>
      </w:pPr>
      <w:r w:rsidRPr="00A204D0">
        <w:rPr>
          <w:rStyle w:val="QuoteChar"/>
        </w:rPr>
        <w:t>Deficit recovery period:</w:t>
      </w:r>
      <w:r w:rsidRPr="00F85F95">
        <w:rPr>
          <w:color w:val="993366"/>
          <w:lang w:val="en-GB"/>
        </w:rPr>
        <w:t xml:space="preserve"> </w:t>
      </w:r>
      <w:r w:rsidRPr="00A204D0">
        <w:t>the target length of time over which the current deficit is intended to be paid off. A shorter period will give rise to a higher annual contribution, and vice versa.</w:t>
      </w:r>
    </w:p>
    <w:p w14:paraId="29FCDEE7" w14:textId="77777777" w:rsidR="00AC6C5C" w:rsidRPr="00A204D0" w:rsidRDefault="00AC6C5C" w:rsidP="00AC6C5C">
      <w:pPr>
        <w:pStyle w:val="DocumentText"/>
      </w:pPr>
      <w:r w:rsidRPr="00A204D0">
        <w:rPr>
          <w:rStyle w:val="QuoteChar"/>
        </w:rPr>
        <w:t>Discount Rate:</w:t>
      </w:r>
      <w:r w:rsidRPr="00F85F95">
        <w:rPr>
          <w:color w:val="993366"/>
          <w:lang w:val="en-GB"/>
        </w:rPr>
        <w:t xml:space="preserve"> </w:t>
      </w:r>
      <w:r w:rsidRPr="00A204D0">
        <w:t>the rate of interest used to convert a cash amount e.g. future benefit payments occurring in the future to a present value.</w:t>
      </w:r>
    </w:p>
    <w:p w14:paraId="65001793" w14:textId="77777777" w:rsidR="00AC6C5C" w:rsidRPr="00A204D0" w:rsidRDefault="00AC6C5C" w:rsidP="00AC6C5C">
      <w:pPr>
        <w:pStyle w:val="DocumentText"/>
      </w:pPr>
      <w:r w:rsidRPr="00A204D0">
        <w:rPr>
          <w:rStyle w:val="QuoteChar"/>
        </w:rPr>
        <w:t>Employer's Future Service Contribution Rate:</w:t>
      </w:r>
      <w:r w:rsidRPr="00F85F95">
        <w:rPr>
          <w:color w:val="993366"/>
          <w:lang w:val="en-GB"/>
        </w:rPr>
        <w:t xml:space="preserve"> </w:t>
      </w:r>
      <w:r w:rsidRPr="00A204D0">
        <w:t>the contribution rate payable by an employer, expressed as a % of pensionable pay, as being sufficient to meet the cost of new benefits being accrued by active members in the future. The cost will be net of employee contributions and will include an allowance for the expected level of administrative expenses.</w:t>
      </w:r>
    </w:p>
    <w:p w14:paraId="4F9547D1" w14:textId="1BE5B580" w:rsidR="00AC6C5C" w:rsidRPr="00A204D0" w:rsidRDefault="00AC6C5C" w:rsidP="00AC6C5C">
      <w:pPr>
        <w:rPr>
          <w:szCs w:val="22"/>
        </w:rPr>
      </w:pPr>
      <w:r w:rsidRPr="00A204D0">
        <w:rPr>
          <w:rStyle w:val="QuoteChar"/>
        </w:rPr>
        <w:t>Employing bodie</w:t>
      </w:r>
      <w:r w:rsidR="009848F1">
        <w:rPr>
          <w:rStyle w:val="QuoteChar"/>
        </w:rPr>
        <w:t>s</w:t>
      </w:r>
      <w:r w:rsidRPr="00A204D0">
        <w:rPr>
          <w:rStyle w:val="QuoteChar"/>
        </w:rPr>
        <w:t>:</w:t>
      </w:r>
      <w:r w:rsidRPr="00F85F95">
        <w:rPr>
          <w:color w:val="993366"/>
          <w:lang w:val="en-GB"/>
        </w:rPr>
        <w:t xml:space="preserve"> </w:t>
      </w:r>
      <w:r w:rsidRPr="00A204D0">
        <w:rPr>
          <w:szCs w:val="22"/>
        </w:rPr>
        <w:t xml:space="preserve">any organisation that participates in the LGPS, including admission bodies and </w:t>
      </w:r>
      <w:r w:rsidR="00177D13">
        <w:rPr>
          <w:szCs w:val="22"/>
        </w:rPr>
        <w:t>Fund</w:t>
      </w:r>
      <w:r w:rsidRPr="00A204D0">
        <w:rPr>
          <w:szCs w:val="22"/>
        </w:rPr>
        <w:t xml:space="preserve"> employers.</w:t>
      </w:r>
    </w:p>
    <w:p w14:paraId="2CF10441" w14:textId="77777777" w:rsidR="00AC6C5C" w:rsidRPr="00A204D0" w:rsidRDefault="00AC6C5C" w:rsidP="00AC6C5C">
      <w:pPr>
        <w:pStyle w:val="DocumentText"/>
      </w:pPr>
      <w:r w:rsidRPr="00A204D0">
        <w:rPr>
          <w:rStyle w:val="QuoteChar"/>
        </w:rPr>
        <w:t>Equities:</w:t>
      </w:r>
      <w:r w:rsidRPr="00F85F95">
        <w:rPr>
          <w:color w:val="993366"/>
          <w:lang w:val="en-GB"/>
        </w:rPr>
        <w:t xml:space="preserve"> </w:t>
      </w:r>
      <w:r w:rsidRPr="00A204D0">
        <w:t xml:space="preserve">shares in a company which are bought and sold on a stock exchange. </w:t>
      </w:r>
    </w:p>
    <w:p w14:paraId="353CF799" w14:textId="77777777" w:rsidR="00AC6C5C" w:rsidRPr="00A204D0" w:rsidRDefault="00AC6C5C" w:rsidP="00AC6C5C">
      <w:pPr>
        <w:pStyle w:val="DocumentText"/>
      </w:pPr>
      <w:r w:rsidRPr="00A204D0">
        <w:rPr>
          <w:rStyle w:val="QuoteChar"/>
        </w:rPr>
        <w:t>Funding or solvency Level:</w:t>
      </w:r>
      <w:r w:rsidRPr="00F85F95">
        <w:rPr>
          <w:color w:val="993366"/>
          <w:lang w:val="en-GB"/>
        </w:rPr>
        <w:t xml:space="preserve"> </w:t>
      </w:r>
      <w:r w:rsidRPr="00A204D0">
        <w:t>the ratio of the value of the Fund’s assets and the value of the Fund’s liabilities expressed as a percentage.</w:t>
      </w:r>
    </w:p>
    <w:p w14:paraId="7EF37515" w14:textId="17309985" w:rsidR="00AC6C5C" w:rsidRPr="00A204D0" w:rsidRDefault="00AC6C5C" w:rsidP="00AC6C5C">
      <w:pPr>
        <w:pStyle w:val="DocumentText"/>
      </w:pPr>
      <w:r w:rsidRPr="00A204D0">
        <w:rPr>
          <w:rStyle w:val="QuoteChar"/>
        </w:rPr>
        <w:t>Funding Strategy Statement:</w:t>
      </w:r>
      <w:r w:rsidRPr="00F85F95">
        <w:rPr>
          <w:color w:val="993366"/>
          <w:lang w:val="en-GB"/>
        </w:rPr>
        <w:t xml:space="preserve"> </w:t>
      </w:r>
      <w:r w:rsidR="009848F1">
        <w:t>t</w:t>
      </w:r>
      <w:r w:rsidRPr="00A204D0">
        <w:t>his is a key governance document that outlines how the administering authority will manage employer’s contributions and risks to the Fund.</w:t>
      </w:r>
    </w:p>
    <w:p w14:paraId="38856CD3" w14:textId="77777777" w:rsidR="005B2B30" w:rsidRPr="00A204D0" w:rsidRDefault="005B2B30" w:rsidP="005B2B30">
      <w:pPr>
        <w:pStyle w:val="DocumentText"/>
      </w:pPr>
      <w:r w:rsidRPr="00A204D0">
        <w:rPr>
          <w:rStyle w:val="QuoteChar"/>
        </w:rPr>
        <w:t>Investment Strategy</w:t>
      </w:r>
      <w:r>
        <w:rPr>
          <w:rStyle w:val="QuoteChar"/>
        </w:rPr>
        <w:t>:</w:t>
      </w:r>
      <w:r w:rsidRPr="00F85F95">
        <w:rPr>
          <w:color w:val="993366"/>
          <w:lang w:val="en-GB"/>
        </w:rPr>
        <w:t xml:space="preserve"> </w:t>
      </w:r>
      <w:r w:rsidRPr="00A204D0">
        <w:t xml:space="preserve">the long-term distribution of assets among various asset classes that takes into account the Funds objectives and attitude to risk. </w:t>
      </w:r>
    </w:p>
    <w:p w14:paraId="5CDF91ED" w14:textId="77777777" w:rsidR="00AC6C5C" w:rsidRPr="00A204D0" w:rsidRDefault="00AC6C5C" w:rsidP="00AC6C5C">
      <w:pPr>
        <w:pStyle w:val="DocumentText"/>
      </w:pPr>
      <w:r w:rsidRPr="00A204D0">
        <w:rPr>
          <w:rStyle w:val="QuoteChar"/>
        </w:rPr>
        <w:t>Government Actuary's Department (GAD):</w:t>
      </w:r>
      <w:r w:rsidRPr="00F85F95">
        <w:rPr>
          <w:caps/>
          <w:color w:val="993366"/>
          <w:spacing w:val="30"/>
          <w:szCs w:val="26"/>
        </w:rPr>
        <w:t xml:space="preserve"> </w:t>
      </w:r>
      <w:r w:rsidRPr="00A204D0">
        <w:t>the GAD is responsible for providing actuarial advice to public sector clients. GAD is a non-ministerial department of HM Treasury.</w:t>
      </w:r>
    </w:p>
    <w:p w14:paraId="52C7639E" w14:textId="59713BC4" w:rsidR="00AC6C5C" w:rsidRPr="00A204D0" w:rsidRDefault="00AC6C5C" w:rsidP="00AC6C5C">
      <w:pPr>
        <w:pStyle w:val="DocumentText"/>
      </w:pPr>
      <w:r w:rsidRPr="00A204D0">
        <w:rPr>
          <w:rStyle w:val="QuoteChar"/>
        </w:rPr>
        <w:t>Guarantee / guarantor</w:t>
      </w:r>
      <w:r w:rsidR="009848F1">
        <w:rPr>
          <w:rStyle w:val="QuoteChar"/>
        </w:rPr>
        <w:t>:</w:t>
      </w:r>
      <w:r w:rsidRPr="00F85F95">
        <w:rPr>
          <w:color w:val="993366"/>
          <w:lang w:val="en-GB"/>
        </w:rPr>
        <w:t xml:space="preserve"> </w:t>
      </w:r>
      <w:r w:rsidR="006B566B" w:rsidRPr="00A204D0">
        <w:t>a formal promise by a third party (the guarantor) that it will meet any pension obligations not met by a specified employer. The presence of a guarantor will mean, for instance, that the Fund can consider the employer’s covenant to be as strong as its guarantor</w:t>
      </w:r>
      <w:r w:rsidR="006B566B">
        <w:t>’</w:t>
      </w:r>
      <w:r w:rsidR="006B566B" w:rsidRPr="00A204D0">
        <w:t xml:space="preserve">s. </w:t>
      </w:r>
    </w:p>
    <w:p w14:paraId="72E07DA4" w14:textId="48002706" w:rsidR="00AC6C5C" w:rsidRPr="00A204D0" w:rsidRDefault="00AC6C5C" w:rsidP="00AC6C5C">
      <w:pPr>
        <w:rPr>
          <w:rStyle w:val="DocumentTextChar"/>
        </w:rPr>
      </w:pPr>
      <w:r w:rsidRPr="00A204D0">
        <w:rPr>
          <w:rStyle w:val="QuoteChar"/>
        </w:rPr>
        <w:t>Letting employer</w:t>
      </w:r>
      <w:r w:rsidR="009848F1">
        <w:rPr>
          <w:rStyle w:val="QuoteChar"/>
        </w:rPr>
        <w:t>:</w:t>
      </w:r>
      <w:r w:rsidRPr="00F85F95">
        <w:rPr>
          <w:rFonts w:cs="Arial"/>
          <w:color w:val="993366"/>
        </w:rPr>
        <w:t xml:space="preserve"> </w:t>
      </w:r>
      <w:r w:rsidRPr="00A204D0">
        <w:rPr>
          <w:rStyle w:val="DocumentTextChar"/>
        </w:rPr>
        <w:t xml:space="preserve">an employer that outsources part of its services/workforce to another employer, usually a contractor. The contractor will pay towards the LGPS benefits accrued by the transferring members, but ultimately the obligation to pay for these benefits will revert to the letting employer. </w:t>
      </w:r>
    </w:p>
    <w:p w14:paraId="2940E94D" w14:textId="39AD880E" w:rsidR="00AC6C5C" w:rsidRDefault="00AC6C5C" w:rsidP="00AC6C5C">
      <w:pPr>
        <w:rPr>
          <w:color w:val="auto"/>
          <w:szCs w:val="22"/>
          <w:lang w:val="en-GB"/>
        </w:rPr>
      </w:pPr>
      <w:r w:rsidRPr="00A204D0">
        <w:rPr>
          <w:rStyle w:val="QuoteChar"/>
        </w:rPr>
        <w:t>Liabilities</w:t>
      </w:r>
      <w:r w:rsidR="009848F1">
        <w:rPr>
          <w:rStyle w:val="QuoteChar"/>
        </w:rPr>
        <w:t>:</w:t>
      </w:r>
      <w:r w:rsidRPr="00F85F95">
        <w:rPr>
          <w:rFonts w:cs="Arial"/>
          <w:color w:val="993366"/>
        </w:rPr>
        <w:t xml:space="preserve"> </w:t>
      </w:r>
      <w:r w:rsidRPr="00A204D0">
        <w:rPr>
          <w:rStyle w:val="DocumentTextChar"/>
        </w:rPr>
        <w:t xml:space="preserve">the actuarially calculated present value of all benefit entitlements i.e. </w:t>
      </w:r>
      <w:r w:rsidR="00177D13">
        <w:rPr>
          <w:rStyle w:val="DocumentTextChar"/>
        </w:rPr>
        <w:t>Fund</w:t>
      </w:r>
      <w:r w:rsidRPr="00A204D0">
        <w:rPr>
          <w:rStyle w:val="DocumentTextChar"/>
        </w:rPr>
        <w:t xml:space="preserve"> cashflows of all members of the Fund, built up to date or in the future. The liabilities in relation to the benefit entitlements earned up to the valuation date are compared with the present market value of Fund assets to derive the deficit and funding/solvency level. Liabilities can be assessed on different set of actuarial assumptions depending on the purpose of the valuation.</w:t>
      </w:r>
    </w:p>
    <w:p w14:paraId="3A42F807" w14:textId="77F22B9F" w:rsidR="00AC6C5C" w:rsidRDefault="00AC6C5C" w:rsidP="00AC6C5C">
      <w:pPr>
        <w:rPr>
          <w:color w:val="auto"/>
          <w:szCs w:val="22"/>
          <w:lang w:val="en-GB"/>
        </w:rPr>
      </w:pPr>
      <w:r w:rsidRPr="00A204D0">
        <w:rPr>
          <w:rStyle w:val="QuoteChar"/>
        </w:rPr>
        <w:t>LGPS</w:t>
      </w:r>
      <w:r w:rsidR="009848F1">
        <w:rPr>
          <w:rStyle w:val="QuoteChar"/>
        </w:rPr>
        <w:t>:</w:t>
      </w:r>
      <w:r w:rsidRPr="00F85F95">
        <w:rPr>
          <w:rFonts w:cs="Arial"/>
          <w:color w:val="993366"/>
        </w:rPr>
        <w:t xml:space="preserve"> </w:t>
      </w:r>
      <w:r w:rsidRPr="00A204D0">
        <w:rPr>
          <w:rStyle w:val="DocumentTextChar"/>
        </w:rPr>
        <w:t xml:space="preserve">the Local Government Pension Scheme, a public sector pension arrangement put in place via Government Regulations, for workers in local government. These Regulations also dictate eligibility (particularly for Scheduled Bodies), members’ contribution rates, benefit calculations and certain governance requirements. </w:t>
      </w:r>
    </w:p>
    <w:p w14:paraId="36320234" w14:textId="77604696" w:rsidR="00AC6C5C" w:rsidRPr="00A204D0" w:rsidRDefault="00AC6C5C" w:rsidP="00AC6C5C">
      <w:pPr>
        <w:rPr>
          <w:rStyle w:val="DocumentTextChar"/>
        </w:rPr>
      </w:pPr>
      <w:r w:rsidRPr="00A204D0">
        <w:rPr>
          <w:rStyle w:val="QuoteChar"/>
        </w:rPr>
        <w:t>Maturity</w:t>
      </w:r>
      <w:r w:rsidR="009848F1">
        <w:rPr>
          <w:rStyle w:val="QuoteChar"/>
        </w:rPr>
        <w:t>:</w:t>
      </w:r>
      <w:r w:rsidRPr="00F85F95">
        <w:rPr>
          <w:rFonts w:cs="Arial"/>
          <w:color w:val="993366"/>
        </w:rPr>
        <w:t xml:space="preserve"> </w:t>
      </w:r>
      <w:r w:rsidRPr="00A204D0">
        <w:rPr>
          <w:rStyle w:val="DocumentTextChar"/>
        </w:rPr>
        <w:t>a general term to describe a Fund (or an employer’s position within a Fund) where the members are closer to retirement (or more of them already retired) and the investment time horizon is shorter. This has implications for investment strategy and, consequently, funding strategy.</w:t>
      </w:r>
    </w:p>
    <w:p w14:paraId="378B60AE" w14:textId="40C284FD" w:rsidR="00AC6C5C" w:rsidRPr="00A204D0" w:rsidRDefault="00AC6C5C" w:rsidP="00AC6C5C">
      <w:pPr>
        <w:rPr>
          <w:rStyle w:val="DocumentTextChar"/>
        </w:rPr>
      </w:pPr>
      <w:r w:rsidRPr="00A204D0">
        <w:rPr>
          <w:rStyle w:val="QuoteChar"/>
        </w:rPr>
        <w:t>Members</w:t>
      </w:r>
      <w:r w:rsidR="009848F1">
        <w:rPr>
          <w:rStyle w:val="QuoteChar"/>
        </w:rPr>
        <w:t>:</w:t>
      </w:r>
      <w:r w:rsidRPr="00F85F95">
        <w:rPr>
          <w:rFonts w:cs="Arial"/>
          <w:color w:val="993366"/>
        </w:rPr>
        <w:t xml:space="preserve"> </w:t>
      </w:r>
      <w:r w:rsidRPr="00A204D0">
        <w:rPr>
          <w:rStyle w:val="DocumentTextChar"/>
        </w:rPr>
        <w:t>The individuals who have built up (and may still be building up) entitlement in the Fund. They are divided into actives (current employee members), deferreds (ex-employees who have not yet retired) and pensioners (ex-employees who have now retired, and dependants of deceased ex-employees).</w:t>
      </w:r>
    </w:p>
    <w:p w14:paraId="069A66F5" w14:textId="77777777" w:rsidR="006F78CE" w:rsidRPr="007A1B5B" w:rsidRDefault="006F78CE" w:rsidP="006F78CE">
      <w:pPr>
        <w:rPr>
          <w:color w:val="auto"/>
          <w:szCs w:val="22"/>
          <w:lang w:val="en-GB"/>
        </w:rPr>
      </w:pPr>
      <w:r w:rsidRPr="00A204D0">
        <w:rPr>
          <w:rStyle w:val="QuoteChar"/>
        </w:rPr>
        <w:t>Minimum risk funding basis</w:t>
      </w:r>
      <w:r>
        <w:rPr>
          <w:rStyle w:val="QuoteChar"/>
        </w:rPr>
        <w:t>:</w:t>
      </w:r>
      <w:r w:rsidRPr="00F85F95">
        <w:rPr>
          <w:rFonts w:cs="Arial"/>
          <w:color w:val="993366"/>
        </w:rPr>
        <w:t xml:space="preserve"> </w:t>
      </w:r>
      <w:r w:rsidRPr="00A204D0">
        <w:rPr>
          <w:rStyle w:val="DocumentTextChar"/>
        </w:rPr>
        <w:t xml:space="preserve">more cautious funding basis than the existing valuation basis. The relevant discount rate used for valuing the present value of liabilities is based on the yields from Government Bonds or Swaps.  </w:t>
      </w:r>
      <w:r w:rsidRPr="007A1B5B">
        <w:rPr>
          <w:color w:val="auto"/>
          <w:szCs w:val="22"/>
          <w:lang w:val="en-GB"/>
        </w:rPr>
        <w:t xml:space="preserve"> </w:t>
      </w:r>
    </w:p>
    <w:p w14:paraId="7908BA3D" w14:textId="701E15F1" w:rsidR="00AC6C5C" w:rsidRPr="00A204D0" w:rsidRDefault="00AC6C5C" w:rsidP="00AC6C5C">
      <w:pPr>
        <w:rPr>
          <w:rStyle w:val="DocumentTextChar"/>
        </w:rPr>
      </w:pPr>
      <w:r w:rsidRPr="00A204D0">
        <w:rPr>
          <w:rStyle w:val="QuoteChar"/>
        </w:rPr>
        <w:t>Orphan liabilities</w:t>
      </w:r>
      <w:r w:rsidR="009848F1">
        <w:rPr>
          <w:rStyle w:val="QuoteChar"/>
        </w:rPr>
        <w:t>:</w:t>
      </w:r>
      <w:r w:rsidRPr="00F85F95">
        <w:rPr>
          <w:rFonts w:cs="Arial"/>
          <w:color w:val="993366"/>
        </w:rPr>
        <w:t xml:space="preserve"> </w:t>
      </w:r>
      <w:r w:rsidRPr="00A204D0">
        <w:rPr>
          <w:rStyle w:val="DocumentTextChar"/>
        </w:rPr>
        <w:t xml:space="preserve">liabilities in the </w:t>
      </w:r>
      <w:r w:rsidR="00CC2FF1">
        <w:rPr>
          <w:rStyle w:val="DocumentTextChar"/>
        </w:rPr>
        <w:t>Fund</w:t>
      </w:r>
      <w:r w:rsidR="00CC2FF1" w:rsidRPr="00A204D0">
        <w:rPr>
          <w:rStyle w:val="DocumentTextChar"/>
        </w:rPr>
        <w:t xml:space="preserve"> </w:t>
      </w:r>
      <w:r w:rsidRPr="00A204D0">
        <w:rPr>
          <w:rStyle w:val="DocumentTextChar"/>
        </w:rPr>
        <w:t>for which there is no sponsoring employer within the Fund. Ultimately orphan liabilities must be underwritten by all other employers in the Fund.</w:t>
      </w:r>
    </w:p>
    <w:p w14:paraId="5EDDBDDB" w14:textId="5AE63481" w:rsidR="00AC6C5C" w:rsidRPr="00A204D0" w:rsidRDefault="00AC6C5C" w:rsidP="00AC6C5C">
      <w:pPr>
        <w:pStyle w:val="DocumentText"/>
      </w:pPr>
      <w:r w:rsidRPr="00A204D0">
        <w:rPr>
          <w:rStyle w:val="QuoteChar"/>
        </w:rPr>
        <w:t>Percentiles</w:t>
      </w:r>
      <w:r w:rsidR="009848F1">
        <w:rPr>
          <w:rStyle w:val="QuoteChar"/>
        </w:rPr>
        <w:t>:</w:t>
      </w:r>
      <w:r w:rsidRPr="00971F7C">
        <w:rPr>
          <w:color w:val="993366"/>
          <w:lang w:val="en-GB"/>
        </w:rPr>
        <w:t xml:space="preserve"> </w:t>
      </w:r>
      <w:r w:rsidRPr="00A204D0">
        <w:t>relative ranking (in hundredths) of a particular range. For example, in terms of expected returns a percentile ranking of 75 indicates that in 25% of cases, the return achieved would be greater than the figure, and in 75% cases the return would be lower.</w:t>
      </w:r>
    </w:p>
    <w:p w14:paraId="7BC95299" w14:textId="61A79C37" w:rsidR="00AC6C5C" w:rsidRPr="00A204D0" w:rsidRDefault="006F78CE" w:rsidP="00AC6C5C">
      <w:pPr>
        <w:pStyle w:val="DocumentText"/>
      </w:pPr>
      <w:r>
        <w:rPr>
          <w:rStyle w:val="QuoteChar"/>
        </w:rPr>
        <w:t>P</w:t>
      </w:r>
      <w:r w:rsidR="00AC6C5C" w:rsidRPr="00A204D0">
        <w:rPr>
          <w:rStyle w:val="QuoteChar"/>
        </w:rPr>
        <w:t>hasing/stepping of contributions</w:t>
      </w:r>
      <w:r w:rsidR="009848F1">
        <w:rPr>
          <w:rStyle w:val="QuoteChar"/>
        </w:rPr>
        <w:t>:</w:t>
      </w:r>
      <w:r w:rsidR="00AC6C5C" w:rsidRPr="00971F7C">
        <w:rPr>
          <w:color w:val="993366"/>
          <w:lang w:val="en-GB"/>
        </w:rPr>
        <w:t xml:space="preserve"> </w:t>
      </w:r>
      <w:r w:rsidR="00AC6C5C" w:rsidRPr="00A204D0">
        <w:t>when there is an increase/decrease in an employer’s long term contribution requirements, the increase in contributions can be gradually stepped or phased in over an agreed period. The phasing/stepping can be in equal steps or on a bespoke basis for each employer.</w:t>
      </w:r>
    </w:p>
    <w:p w14:paraId="7572A1D4" w14:textId="1FA4E5BF" w:rsidR="00AC6C5C" w:rsidRPr="00A204D0" w:rsidRDefault="00AC6C5C" w:rsidP="00AC6C5C">
      <w:pPr>
        <w:pStyle w:val="DocumentText"/>
      </w:pPr>
      <w:r w:rsidRPr="00A204D0">
        <w:rPr>
          <w:rStyle w:val="QuoteChar"/>
        </w:rPr>
        <w:t>Pooling</w:t>
      </w:r>
      <w:r w:rsidR="009848F1">
        <w:rPr>
          <w:rStyle w:val="QuoteChar"/>
        </w:rPr>
        <w:t>:</w:t>
      </w:r>
      <w:r w:rsidRPr="00971F7C">
        <w:rPr>
          <w:color w:val="993366"/>
          <w:lang w:val="en-GB"/>
        </w:rPr>
        <w:t xml:space="preserve"> </w:t>
      </w:r>
      <w:r w:rsidRPr="00A204D0">
        <w:t>employers may be grouped together for the purpose of calculating contribution rates, (i.e. a single contribution rate applicable to all employers in the pool). A pool may still require each individual employer to ultimately pay for its own share of deficit, or (if formally agreed) it may allow deficits to be passed from one employer to another.</w:t>
      </w:r>
    </w:p>
    <w:p w14:paraId="49B73195" w14:textId="0CF69AAD" w:rsidR="00AC6C5C" w:rsidRPr="00A204D0" w:rsidRDefault="00AC6C5C" w:rsidP="00AC6C5C">
      <w:pPr>
        <w:pStyle w:val="DocumentText"/>
      </w:pPr>
      <w:r w:rsidRPr="00A204D0">
        <w:rPr>
          <w:rStyle w:val="QuoteChar"/>
        </w:rPr>
        <w:t>Prepayment</w:t>
      </w:r>
      <w:r w:rsidR="009848F1">
        <w:rPr>
          <w:rStyle w:val="QuoteChar"/>
        </w:rPr>
        <w:t>:</w:t>
      </w:r>
      <w:r w:rsidRPr="00971F7C">
        <w:rPr>
          <w:color w:val="993366"/>
          <w:lang w:val="en-GB"/>
        </w:rPr>
        <w:t xml:space="preserve"> </w:t>
      </w:r>
      <w:r w:rsidRPr="00A204D0">
        <w:t xml:space="preserve">the payment by employers of contributions to the Fund earlier than that certified by the Actuary. The amount paid will be reduced in monetary terms compared to the certified amount to reflect the early payment. </w:t>
      </w:r>
    </w:p>
    <w:p w14:paraId="13F60CCE" w14:textId="55F33A2E" w:rsidR="00AC6C5C" w:rsidRPr="00A204D0" w:rsidRDefault="00AC6C5C" w:rsidP="00AC6C5C">
      <w:pPr>
        <w:pStyle w:val="DocumentText"/>
      </w:pPr>
      <w:r w:rsidRPr="00A204D0">
        <w:rPr>
          <w:rStyle w:val="QuoteChar"/>
        </w:rPr>
        <w:t>Present Value</w:t>
      </w:r>
      <w:r w:rsidR="009848F1">
        <w:rPr>
          <w:rStyle w:val="QuoteChar"/>
        </w:rPr>
        <w:t>:</w:t>
      </w:r>
      <w:r w:rsidRPr="00F85F95">
        <w:rPr>
          <w:color w:val="993366"/>
          <w:lang w:val="en-GB"/>
        </w:rPr>
        <w:t xml:space="preserve"> </w:t>
      </w:r>
      <w:r w:rsidRPr="00A204D0">
        <w:t>the value of projected benefit payments, discounted back to the valuation date.</w:t>
      </w:r>
    </w:p>
    <w:p w14:paraId="6155EEFC" w14:textId="32CE0896" w:rsidR="00AC6C5C" w:rsidRDefault="00AC6C5C" w:rsidP="00AC6C5C">
      <w:pPr>
        <w:pStyle w:val="DocumentText"/>
        <w:rPr>
          <w:caps/>
          <w:color w:val="993366"/>
          <w:spacing w:val="30"/>
          <w:szCs w:val="26"/>
        </w:rPr>
      </w:pPr>
      <w:r w:rsidRPr="00A204D0">
        <w:rPr>
          <w:rStyle w:val="QuoteChar"/>
        </w:rPr>
        <w:t>Profile</w:t>
      </w:r>
      <w:r w:rsidR="009848F1">
        <w:rPr>
          <w:rStyle w:val="QuoteChar"/>
        </w:rPr>
        <w:t>:</w:t>
      </w:r>
      <w:r w:rsidRPr="00F85F95">
        <w:rPr>
          <w:color w:val="993366"/>
          <w:lang w:val="en-GB"/>
        </w:rPr>
        <w:t xml:space="preserve"> </w:t>
      </w:r>
      <w:r w:rsidRPr="00A204D0">
        <w:t xml:space="preserve">the profile of an employer’s membership or liability reflects various measurements of that employer’s members, i.e. current and former employees. This includes: the proportions which are active, deferred or pensioner; the average ages of each category; the varying salary or pension levels; the lengths of service of active members vs their salary levels, etc. </w:t>
      </w:r>
    </w:p>
    <w:p w14:paraId="38BE2392" w14:textId="2B6FAD6F" w:rsidR="00AC6C5C" w:rsidRPr="00A204D0" w:rsidRDefault="00AC6C5C" w:rsidP="00AC6C5C">
      <w:pPr>
        <w:pStyle w:val="DocumentText"/>
      </w:pPr>
      <w:r w:rsidRPr="00A204D0">
        <w:rPr>
          <w:rStyle w:val="QuoteChar"/>
        </w:rPr>
        <w:t>Prudent Assumption</w:t>
      </w:r>
      <w:r w:rsidR="009848F1">
        <w:rPr>
          <w:rStyle w:val="QuoteChar"/>
        </w:rPr>
        <w:t>:</w:t>
      </w:r>
      <w:r w:rsidRPr="00F85F95">
        <w:rPr>
          <w:color w:val="993366"/>
          <w:lang w:val="en-GB"/>
        </w:rPr>
        <w:t xml:space="preserve"> </w:t>
      </w:r>
      <w:r w:rsidRPr="00A204D0">
        <w:t>an assumption where the outcome has a greater than 50/50 chance of being achieved i.e. the outcome is more likely to be overstated than understated. Legislation and Guidance requires the assumptions adopted for an actuarial valuation to be prudent.</w:t>
      </w:r>
    </w:p>
    <w:p w14:paraId="716772B3" w14:textId="73B613A7" w:rsidR="00AC6C5C" w:rsidRPr="00A204D0" w:rsidRDefault="00AC6C5C" w:rsidP="00AC6C5C">
      <w:pPr>
        <w:pStyle w:val="DocumentText"/>
      </w:pPr>
      <w:r w:rsidRPr="00A204D0">
        <w:rPr>
          <w:rStyle w:val="QuoteChar"/>
        </w:rPr>
        <w:t>Rates and Adjustments Certificate</w:t>
      </w:r>
      <w:r w:rsidR="009848F1">
        <w:rPr>
          <w:rStyle w:val="QuoteChar"/>
        </w:rPr>
        <w:t>:</w:t>
      </w:r>
      <w:r w:rsidRPr="00F85F95">
        <w:rPr>
          <w:color w:val="993366"/>
          <w:lang w:val="en-GB"/>
        </w:rPr>
        <w:t xml:space="preserve"> </w:t>
      </w:r>
      <w:r w:rsidRPr="00A204D0">
        <w:t>a formal document required by the LGPS Regulations, which must be updated at least every three years at the conclusion of the formal valuation. This is completed by the actuary and confirms the contributions to be paid by each employer (or pool of employers) in the Fund for the three year period until the next valuation is completed.</w:t>
      </w:r>
    </w:p>
    <w:p w14:paraId="28A834FD" w14:textId="1012136F" w:rsidR="00AC6C5C" w:rsidRPr="00A204D0" w:rsidRDefault="00AC6C5C" w:rsidP="00AC6C5C">
      <w:pPr>
        <w:pStyle w:val="DocumentText"/>
      </w:pPr>
      <w:r w:rsidRPr="00A204D0">
        <w:rPr>
          <w:rStyle w:val="QuoteChar"/>
        </w:rPr>
        <w:t>Real Return or Real Discount Rate</w:t>
      </w:r>
      <w:r w:rsidR="009848F1">
        <w:rPr>
          <w:rStyle w:val="QuoteChar"/>
        </w:rPr>
        <w:t>:</w:t>
      </w:r>
      <w:r w:rsidRPr="00A204D0">
        <w:t xml:space="preserve"> a rate of return or discount rate net of (CPI) inflation.</w:t>
      </w:r>
    </w:p>
    <w:p w14:paraId="5805A068" w14:textId="7405267E" w:rsidR="00AC6C5C" w:rsidRPr="00A204D0" w:rsidRDefault="00AC6C5C" w:rsidP="00AC6C5C">
      <w:pPr>
        <w:pStyle w:val="DocumentText"/>
      </w:pPr>
      <w:r w:rsidRPr="00A204D0">
        <w:rPr>
          <w:rStyle w:val="QuoteChar"/>
        </w:rPr>
        <w:t>Recovery Plan</w:t>
      </w:r>
      <w:r w:rsidR="009848F1">
        <w:rPr>
          <w:rStyle w:val="QuoteChar"/>
        </w:rPr>
        <w:t>:</w:t>
      </w:r>
      <w:r w:rsidRPr="00F85F95">
        <w:rPr>
          <w:color w:val="993366"/>
          <w:lang w:val="en-GB"/>
        </w:rPr>
        <w:t xml:space="preserve"> </w:t>
      </w:r>
      <w:r w:rsidRPr="00A204D0">
        <w:t>a strategy by which an employer will make up a funding deficit over a specified period of time (“the recovery period”), as set out in the Funding Strategy Statement.</w:t>
      </w:r>
    </w:p>
    <w:p w14:paraId="6AE78F18" w14:textId="4D2128EB" w:rsidR="00AC6C5C" w:rsidRDefault="009848F1" w:rsidP="00AC6C5C">
      <w:pPr>
        <w:pStyle w:val="DocumentText"/>
      </w:pPr>
      <w:r>
        <w:rPr>
          <w:rStyle w:val="QuoteChar"/>
        </w:rPr>
        <w:t>S</w:t>
      </w:r>
      <w:r w:rsidR="00AC6C5C" w:rsidRPr="00A204D0">
        <w:rPr>
          <w:rStyle w:val="QuoteChar"/>
        </w:rPr>
        <w:t>cheduled bodies</w:t>
      </w:r>
      <w:r>
        <w:rPr>
          <w:rStyle w:val="QuoteChar"/>
        </w:rPr>
        <w:t>:</w:t>
      </w:r>
      <w:r w:rsidR="00AC6C5C" w:rsidRPr="00F85F95">
        <w:rPr>
          <w:color w:val="993366"/>
          <w:lang w:val="en-GB"/>
        </w:rPr>
        <w:t xml:space="preserve"> </w:t>
      </w:r>
      <w:r w:rsidR="00AC6C5C" w:rsidRPr="00A204D0">
        <w:t>types of employer explicitly defined in the LGPS Regulations, whose employers must be offered membership of their local LGPS Fund. These include Councils, colleges, universities, police and fire authorities etc, other than employees who have entitlement to a different public sector pension scheme (e.g. teachers, police and fire officers, university lecturers).</w:t>
      </w:r>
    </w:p>
    <w:p w14:paraId="483D4ACC" w14:textId="57F8A5D5" w:rsidR="009848F1" w:rsidRPr="007A1B5B" w:rsidRDefault="00177D13" w:rsidP="009848F1">
      <w:pPr>
        <w:rPr>
          <w:color w:val="auto"/>
          <w:szCs w:val="22"/>
          <w:lang w:val="en-GB"/>
        </w:rPr>
      </w:pPr>
      <w:r>
        <w:rPr>
          <w:rStyle w:val="QuoteChar"/>
        </w:rPr>
        <w:t>Fund / Scheme</w:t>
      </w:r>
      <w:r w:rsidR="009848F1" w:rsidRPr="00A204D0">
        <w:rPr>
          <w:rStyle w:val="QuoteChar"/>
        </w:rPr>
        <w:t xml:space="preserve"> Employers:</w:t>
      </w:r>
      <w:r w:rsidR="009848F1" w:rsidRPr="00F85F95">
        <w:rPr>
          <w:rFonts w:cs="Arial"/>
          <w:color w:val="993366"/>
        </w:rPr>
        <w:t xml:space="preserve"> </w:t>
      </w:r>
      <w:r w:rsidR="009848F1" w:rsidRPr="00A204D0">
        <w:rPr>
          <w:rStyle w:val="DocumentTextChar"/>
        </w:rPr>
        <w:t xml:space="preserve">employers that have the statutory right to participate in the LGPS.  These organisations (set out in Part 1 of Schedule 2 of the 2013 Regulations) would not need to designate eligibility, unlike the Part 2 </w:t>
      </w:r>
      <w:r>
        <w:rPr>
          <w:rStyle w:val="DocumentTextChar"/>
        </w:rPr>
        <w:t>Fund</w:t>
      </w:r>
      <w:r w:rsidR="009848F1" w:rsidRPr="00A204D0">
        <w:rPr>
          <w:rStyle w:val="DocumentTextChar"/>
        </w:rPr>
        <w:t xml:space="preserve"> Employers.</w:t>
      </w:r>
      <w:r w:rsidR="009848F1" w:rsidRPr="007A1B5B">
        <w:rPr>
          <w:color w:val="auto"/>
          <w:szCs w:val="22"/>
          <w:lang w:val="en-GB"/>
        </w:rPr>
        <w:t xml:space="preserve">   </w:t>
      </w:r>
    </w:p>
    <w:p w14:paraId="726B42C8" w14:textId="77777777" w:rsidR="009848F1" w:rsidRDefault="009848F1" w:rsidP="009848F1">
      <w:pPr>
        <w:rPr>
          <w:color w:val="auto"/>
          <w:lang w:val="en-GB"/>
        </w:rPr>
      </w:pPr>
      <w:r w:rsidRPr="00A204D0">
        <w:rPr>
          <w:rStyle w:val="QuoteChar"/>
        </w:rPr>
        <w:t>Section 13 Valuation:</w:t>
      </w:r>
      <w:r w:rsidRPr="00F85F95">
        <w:rPr>
          <w:color w:val="993366"/>
          <w:lang w:val="en-GB"/>
        </w:rPr>
        <w:t xml:space="preserve"> </w:t>
      </w:r>
      <w:r w:rsidRPr="00A204D0">
        <w:rPr>
          <w:rStyle w:val="DocumentTextChar"/>
        </w:rPr>
        <w:t>in accordance with Section 13 of the Public Service Pensions Act 2014, the Government Actuary’s Department (GAD) have been commissioned to advise the Department for Communities and Local Government (DCLG) in connection with reviewing the 2016 LGPS actuarial valuations. All LGPS Funds therefore will be assessed on a standardised set of assumptions as part of this process.</w:t>
      </w:r>
    </w:p>
    <w:p w14:paraId="17EDE839" w14:textId="77777777" w:rsidR="009848F1" w:rsidRPr="00971F7C" w:rsidRDefault="009848F1" w:rsidP="009848F1">
      <w:pPr>
        <w:pStyle w:val="DocumentText"/>
        <w:rPr>
          <w:color w:val="auto"/>
          <w:lang w:val="en-GB"/>
        </w:rPr>
      </w:pPr>
      <w:r w:rsidRPr="00A204D0">
        <w:rPr>
          <w:rStyle w:val="QuoteChar"/>
        </w:rPr>
        <w:t>Solvency Funding Target:</w:t>
      </w:r>
      <w:r w:rsidRPr="00F85F95">
        <w:rPr>
          <w:color w:val="993366"/>
          <w:lang w:val="en-GB"/>
        </w:rPr>
        <w:t xml:space="preserve"> </w:t>
      </w:r>
      <w:r w:rsidRPr="00A204D0">
        <w:t>an assessment of the present value of benefits to be paid in the future. The desired funding target is to achieve a solvency level of a 100% i.e. assets equal to the accrued liabilities at the valuation date assessed on the ongoing concern basis.</w:t>
      </w:r>
    </w:p>
    <w:p w14:paraId="1CF28609" w14:textId="77777777" w:rsidR="009848F1" w:rsidRPr="00971F7C" w:rsidRDefault="009848F1" w:rsidP="009848F1">
      <w:pPr>
        <w:rPr>
          <w:color w:val="auto"/>
          <w:lang w:val="en-GB"/>
        </w:rPr>
      </w:pPr>
      <w:r w:rsidRPr="00A204D0">
        <w:rPr>
          <w:rStyle w:val="QuoteChar"/>
        </w:rPr>
        <w:t>Valuation funding basis:</w:t>
      </w:r>
      <w:r w:rsidRPr="00F85F95">
        <w:rPr>
          <w:rFonts w:cs="Arial"/>
          <w:color w:val="993366"/>
        </w:rPr>
        <w:t xml:space="preserve">  </w:t>
      </w:r>
      <w:r w:rsidRPr="00A204D0">
        <w:rPr>
          <w:rStyle w:val="DocumentTextChar"/>
        </w:rPr>
        <w:t>the financial and demographic assumptions used to determine the employer’s contribution requirements.   The relevant discount rate used for valuing the present value of liabilities is consistent with an expected rate of return of the Fund’s investments.  This includes an expected out-performance over gilts in the long-term from other asset classes, held by the Fund.</w:t>
      </w:r>
    </w:p>
    <w:p w14:paraId="0475733C" w14:textId="544A5FA2" w:rsidR="009848F1" w:rsidRPr="00A204D0" w:rsidRDefault="009848F1" w:rsidP="009848F1">
      <w:pPr>
        <w:pStyle w:val="DocumentText"/>
      </w:pPr>
      <w:r w:rsidRPr="00A204D0">
        <w:rPr>
          <w:rStyle w:val="QuoteChar"/>
        </w:rPr>
        <w:t>50/50 Scheme:</w:t>
      </w:r>
      <w:r w:rsidRPr="00F85F95">
        <w:rPr>
          <w:color w:val="993366"/>
          <w:lang w:val="en-GB"/>
        </w:rPr>
        <w:t xml:space="preserve"> </w:t>
      </w:r>
      <w:r w:rsidRPr="00A204D0">
        <w:t>in the LGPS, active members are given the option of accruing a lower personal benefit in the 50/50 Scheme, in return for paying a lower level of contribution.</w:t>
      </w:r>
    </w:p>
    <w:p w14:paraId="0C3B9475" w14:textId="77777777" w:rsidR="00FF6F2F" w:rsidRPr="00FF6F2F" w:rsidRDefault="00FF6F2F" w:rsidP="00FF6F2F">
      <w:pPr>
        <w:pStyle w:val="DocumentText"/>
        <w:rPr>
          <w:lang w:val="en-GB"/>
        </w:rPr>
      </w:pPr>
    </w:p>
    <w:sectPr w:rsidR="00FF6F2F" w:rsidRPr="00FF6F2F" w:rsidSect="00147856">
      <w:headerReference w:type="default" r:id="rId19"/>
      <w:footerReference w:type="default" r:id="rId20"/>
      <w:pgSz w:w="11907" w:h="16839" w:code="9"/>
      <w:pgMar w:top="1134" w:right="1134" w:bottom="142" w:left="1134" w:header="709" w:footer="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FC8EB" w14:textId="77777777" w:rsidR="00CF52F4" w:rsidRDefault="00CF52F4" w:rsidP="00246203">
      <w:r>
        <w:separator/>
      </w:r>
    </w:p>
  </w:endnote>
  <w:endnote w:type="continuationSeparator" w:id="0">
    <w:p w14:paraId="20241108" w14:textId="77777777" w:rsidR="00CF52F4" w:rsidRDefault="00CF52F4" w:rsidP="00246203">
      <w:r>
        <w:continuationSeparator/>
      </w:r>
    </w:p>
  </w:endnote>
  <w:endnote w:type="continuationNotice" w:id="1">
    <w:p w14:paraId="0AC5CCCE" w14:textId="77777777" w:rsidR="00CF52F4" w:rsidRDefault="00CF52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R">
    <w:altName w:val="Times New Roman"/>
    <w:panose1 w:val="00000000000000000000"/>
    <w:charset w:val="00"/>
    <w:family w:val="roman"/>
    <w:notTrueType/>
    <w:pitch w:val="default"/>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S Lol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B9485" w14:textId="108977E1" w:rsidR="00CF52F4" w:rsidRPr="00F649AA" w:rsidRDefault="00CF52F4" w:rsidP="0096232E">
    <w:pPr>
      <w:pStyle w:val="ClientNameHeaderandfooter"/>
    </w:pPr>
    <w:r>
      <w:tab/>
    </w:r>
    <w:r>
      <w:tab/>
    </w:r>
    <w:r>
      <w:tab/>
    </w:r>
    <w:r>
      <w:tab/>
    </w:r>
    <w:r>
      <w:tab/>
    </w:r>
    <w:r>
      <w:tab/>
    </w:r>
    <w:r>
      <w:tab/>
    </w:r>
    <w:r>
      <w:tab/>
    </w:r>
    <w:r>
      <w:tab/>
    </w:r>
    <w:r>
      <w:tab/>
    </w:r>
    <w:r>
      <w:tab/>
    </w:r>
    <w:r>
      <w:tab/>
    </w:r>
    <w:r>
      <w:fldChar w:fldCharType="begin"/>
    </w:r>
    <w:r>
      <w:instrText xml:space="preserve"> PAGE   \* MERGEFORMAT </w:instrText>
    </w:r>
    <w:r>
      <w:fldChar w:fldCharType="separate"/>
    </w:r>
    <w:r w:rsidR="00EF58EE" w:rsidRPr="00EF58EE">
      <w:rPr>
        <w:caps w:val="0"/>
        <w:noProof/>
      </w:rPr>
      <w:t>iii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017917"/>
      <w:docPartObj>
        <w:docPartGallery w:val="Page Numbers (Bottom of Page)"/>
        <w:docPartUnique/>
      </w:docPartObj>
    </w:sdtPr>
    <w:sdtEndPr>
      <w:rPr>
        <w:noProof/>
      </w:rPr>
    </w:sdtEndPr>
    <w:sdtContent>
      <w:p w14:paraId="6EFD684D" w14:textId="6A7D56FD" w:rsidR="00CF52F4" w:rsidRDefault="00CF52F4">
        <w:pPr>
          <w:pStyle w:val="Footer"/>
          <w:jc w:val="right"/>
        </w:pPr>
        <w:r>
          <w:fldChar w:fldCharType="begin"/>
        </w:r>
        <w:r>
          <w:instrText xml:space="preserve"> PAGE   \* MERGEFORMAT </w:instrText>
        </w:r>
        <w:r>
          <w:fldChar w:fldCharType="separate"/>
        </w:r>
        <w:r w:rsidR="00EF58EE">
          <w:rPr>
            <w:noProof/>
          </w:rPr>
          <w:t>5</w:t>
        </w:r>
        <w:r>
          <w:rPr>
            <w:noProof/>
          </w:rPr>
          <w:fldChar w:fldCharType="end"/>
        </w:r>
      </w:p>
    </w:sdtContent>
  </w:sdt>
  <w:p w14:paraId="0C3B948A" w14:textId="6D6C4E1C" w:rsidR="00CF52F4" w:rsidRPr="00F649AA" w:rsidRDefault="00CF52F4" w:rsidP="0096232E">
    <w:pPr>
      <w:pStyle w:val="ClientNameHeaderand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15083"/>
      <w:docPartObj>
        <w:docPartGallery w:val="Page Numbers (Bottom of Page)"/>
        <w:docPartUnique/>
      </w:docPartObj>
    </w:sdtPr>
    <w:sdtEndPr>
      <w:rPr>
        <w:noProof/>
      </w:rPr>
    </w:sdtEndPr>
    <w:sdtContent>
      <w:p w14:paraId="23C03C32" w14:textId="77777777" w:rsidR="00CF52F4" w:rsidRDefault="00CF52F4">
        <w:pPr>
          <w:pStyle w:val="Footer"/>
          <w:jc w:val="right"/>
        </w:pPr>
        <w:r>
          <w:fldChar w:fldCharType="begin"/>
        </w:r>
        <w:r>
          <w:instrText xml:space="preserve"> PAGE   \* MERGEFORMAT </w:instrText>
        </w:r>
        <w:r>
          <w:fldChar w:fldCharType="separate"/>
        </w:r>
        <w:r w:rsidR="00EF58EE">
          <w:rPr>
            <w:noProof/>
          </w:rPr>
          <w:t>19</w:t>
        </w:r>
        <w:r>
          <w:rPr>
            <w:noProof/>
          </w:rPr>
          <w:fldChar w:fldCharType="end"/>
        </w:r>
      </w:p>
    </w:sdtContent>
  </w:sdt>
  <w:p w14:paraId="20D209B5" w14:textId="77777777" w:rsidR="00CF52F4" w:rsidRPr="00F649AA" w:rsidRDefault="00CF52F4" w:rsidP="0096232E">
    <w:pPr>
      <w:pStyle w:val="ClientNameHeaderand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DCCAF" w14:textId="77777777" w:rsidR="00CF52F4" w:rsidRDefault="00CF52F4" w:rsidP="00246203">
      <w:r>
        <w:separator/>
      </w:r>
    </w:p>
  </w:footnote>
  <w:footnote w:type="continuationSeparator" w:id="0">
    <w:p w14:paraId="0512AF63" w14:textId="77777777" w:rsidR="00CF52F4" w:rsidRDefault="00CF52F4" w:rsidP="00246203">
      <w:r>
        <w:continuationSeparator/>
      </w:r>
    </w:p>
  </w:footnote>
  <w:footnote w:type="continuationNotice" w:id="1">
    <w:p w14:paraId="639A9DFA" w14:textId="77777777" w:rsidR="00CF52F4" w:rsidRDefault="00CF52F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Look w:val="04A0" w:firstRow="1" w:lastRow="0" w:firstColumn="1" w:lastColumn="0" w:noHBand="0" w:noVBand="1"/>
    </w:tblPr>
    <w:tblGrid>
      <w:gridCol w:w="10031"/>
    </w:tblGrid>
    <w:tr w:rsidR="00CF52F4" w:rsidRPr="003A1F16" w14:paraId="0C3B9483" w14:textId="77777777" w:rsidTr="00181529">
      <w:tc>
        <w:tcPr>
          <w:tcW w:w="10031" w:type="dxa"/>
          <w:shd w:val="clear" w:color="auto" w:fill="auto"/>
        </w:tcPr>
        <w:p w14:paraId="0C3B9482" w14:textId="51DEB577" w:rsidR="00CF52F4" w:rsidRPr="003A1F16" w:rsidRDefault="00CF52F4" w:rsidP="00B55EC8">
          <w:pPr>
            <w:pStyle w:val="ReporttitleHeader"/>
          </w:pPr>
          <w:r>
            <w:t>Lancashire County Pension Fund - FUNDING STRATEGY STATEMENT</w:t>
          </w:r>
          <w:r w:rsidRPr="003A1F16">
            <w:t xml:space="preserve"> </w:t>
          </w:r>
        </w:p>
      </w:tc>
    </w:tr>
  </w:tbl>
  <w:p w14:paraId="0C3B9484" w14:textId="77777777" w:rsidR="00CF52F4" w:rsidRDefault="00CF5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927"/>
      <w:gridCol w:w="4927"/>
    </w:tblGrid>
    <w:tr w:rsidR="00CF52F4" w:rsidRPr="003A1F16" w14:paraId="0C3B9488" w14:textId="77777777" w:rsidTr="004C2108">
      <w:tc>
        <w:tcPr>
          <w:tcW w:w="4927" w:type="dxa"/>
          <w:shd w:val="clear" w:color="auto" w:fill="auto"/>
        </w:tcPr>
        <w:p w14:paraId="0C3B9486" w14:textId="34E61EFC" w:rsidR="00CF52F4" w:rsidRPr="003A1F16" w:rsidRDefault="00CF52F4" w:rsidP="00181529">
          <w:pPr>
            <w:pStyle w:val="ReporttitleHeader"/>
          </w:pPr>
          <w:r>
            <w:t>Lancashire County Pension Fund</w:t>
          </w:r>
        </w:p>
      </w:tc>
      <w:tc>
        <w:tcPr>
          <w:tcW w:w="4927" w:type="dxa"/>
          <w:shd w:val="clear" w:color="auto" w:fill="auto"/>
        </w:tcPr>
        <w:p w14:paraId="0C3B9487" w14:textId="737F4C85" w:rsidR="00CF52F4" w:rsidRPr="003A1F16" w:rsidRDefault="00CF52F4" w:rsidP="00AE7ACE">
          <w:pPr>
            <w:pStyle w:val="ClientNameHeaderandfooter"/>
            <w:jc w:val="center"/>
          </w:pPr>
          <w:r>
            <w:t>FUNDING STRATEGY STATEMENT</w:t>
          </w:r>
        </w:p>
      </w:tc>
    </w:tr>
  </w:tbl>
  <w:p w14:paraId="0C3B9489" w14:textId="77777777" w:rsidR="00CF52F4" w:rsidRDefault="00CF52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927"/>
      <w:gridCol w:w="4927"/>
    </w:tblGrid>
    <w:tr w:rsidR="00CF52F4" w:rsidRPr="003A1F16" w14:paraId="04CB739A" w14:textId="77777777" w:rsidTr="00945DFC">
      <w:tc>
        <w:tcPr>
          <w:tcW w:w="4927" w:type="dxa"/>
          <w:shd w:val="clear" w:color="auto" w:fill="auto"/>
        </w:tcPr>
        <w:p w14:paraId="07F66240" w14:textId="11A80B7D" w:rsidR="00CF52F4" w:rsidRPr="003A1F16" w:rsidRDefault="00CF52F4" w:rsidP="00945DFC">
          <w:pPr>
            <w:pStyle w:val="ReporttitleHeader"/>
          </w:pPr>
          <w:r>
            <w:t>Lancashire County Pension Fund</w:t>
          </w:r>
        </w:p>
      </w:tc>
      <w:tc>
        <w:tcPr>
          <w:tcW w:w="4927" w:type="dxa"/>
          <w:shd w:val="clear" w:color="auto" w:fill="auto"/>
        </w:tcPr>
        <w:p w14:paraId="1223DC69" w14:textId="77777777" w:rsidR="00CF52F4" w:rsidRPr="003A1F16" w:rsidRDefault="00CF52F4" w:rsidP="00945DFC">
          <w:pPr>
            <w:pStyle w:val="ClientNameHeaderandfooter"/>
            <w:jc w:val="center"/>
          </w:pPr>
          <w:r>
            <w:t>FUNDING STRATEGY STATEMENT</w:t>
          </w:r>
        </w:p>
      </w:tc>
    </w:tr>
  </w:tbl>
  <w:p w14:paraId="0C3B948C" w14:textId="77777777" w:rsidR="00CF52F4" w:rsidRDefault="00CF5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522E"/>
    <w:multiLevelType w:val="hybridMultilevel"/>
    <w:tmpl w:val="E3664EA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F0F80"/>
    <w:multiLevelType w:val="hybridMultilevel"/>
    <w:tmpl w:val="883CE0E4"/>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E40DA8"/>
    <w:multiLevelType w:val="hybridMultilevel"/>
    <w:tmpl w:val="1AB29E6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E494C"/>
    <w:multiLevelType w:val="hybridMultilevel"/>
    <w:tmpl w:val="CA7EF10A"/>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79A3027"/>
    <w:multiLevelType w:val="hybridMultilevel"/>
    <w:tmpl w:val="04164064"/>
    <w:lvl w:ilvl="0" w:tplc="64CA20C2">
      <w:start w:val="1"/>
      <w:numFmt w:val="bullet"/>
      <w:pStyle w:val="TOC2"/>
      <w:lvlText w:val=""/>
      <w:lvlJc w:val="left"/>
      <w:pPr>
        <w:ind w:left="720" w:hanging="360"/>
      </w:pPr>
      <w:rPr>
        <w:rFonts w:ascii="Symbol" w:hAnsi="Symbol" w:hint="default"/>
        <w:color w:val="7C848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B8424D"/>
    <w:multiLevelType w:val="hybridMultilevel"/>
    <w:tmpl w:val="AD8C52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9FB447C"/>
    <w:multiLevelType w:val="hybridMultilevel"/>
    <w:tmpl w:val="3260F6A0"/>
    <w:name w:val="HeadingList2"/>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7" w15:restartNumberingAfterBreak="0">
    <w:nsid w:val="2A583C10"/>
    <w:multiLevelType w:val="hybridMultilevel"/>
    <w:tmpl w:val="E3FA7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834AE8"/>
    <w:multiLevelType w:val="hybridMultilevel"/>
    <w:tmpl w:val="BA0E35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B460F8"/>
    <w:multiLevelType w:val="multilevel"/>
    <w:tmpl w:val="D234C816"/>
    <w:lvl w:ilvl="0">
      <w:start w:val="1"/>
      <w:numFmt w:val="decimal"/>
      <w:lvlText w:val=" %1"/>
      <w:lvlJc w:val="left"/>
      <w:pPr>
        <w:tabs>
          <w:tab w:val="num" w:pos="720"/>
        </w:tabs>
        <w:ind w:left="720" w:hanging="720"/>
      </w:pPr>
      <w:rPr>
        <w:rFonts w:hint="default"/>
        <w:b w:val="0"/>
        <w:i w:val="0"/>
      </w:rPr>
    </w:lvl>
    <w:lvl w:ilvl="1">
      <w:start w:val="1"/>
      <w:numFmt w:val="decimal"/>
      <w:pStyle w:val="OutlineNum2"/>
      <w:lvlText w:val="%1.%2"/>
      <w:lvlJc w:val="left"/>
      <w:pPr>
        <w:tabs>
          <w:tab w:val="num" w:pos="720"/>
        </w:tabs>
        <w:ind w:left="720" w:hanging="720"/>
      </w:pPr>
      <w:rPr>
        <w:rFonts w:ascii="Arial" w:hAnsi="Arial" w:hint="default"/>
        <w:b w:val="0"/>
        <w:i w:val="0"/>
        <w:sz w:val="22"/>
        <w:szCs w:val="22"/>
      </w:rPr>
    </w:lvl>
    <w:lvl w:ilvl="2">
      <w:start w:val="1"/>
      <w:numFmt w:val="decimal"/>
      <w:pStyle w:val="OutlineNum3"/>
      <w:lvlText w:val="%1.%2.%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DF4EF2"/>
    <w:multiLevelType w:val="hybridMultilevel"/>
    <w:tmpl w:val="645820CE"/>
    <w:lvl w:ilvl="0" w:tplc="87207156">
      <w:start w:val="1"/>
      <w:numFmt w:val="bullet"/>
      <w:pStyle w:val="TOC4"/>
      <w:lvlText w:val="›"/>
      <w:lvlJc w:val="left"/>
      <w:pPr>
        <w:ind w:left="1224" w:hanging="144"/>
      </w:pPr>
      <w:rPr>
        <w:rFonts w:ascii="Arial" w:hAnsi="Arial" w:hint="default"/>
        <w:color w:val="7C848A"/>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46380568"/>
    <w:multiLevelType w:val="hybridMultilevel"/>
    <w:tmpl w:val="285E2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246BFB"/>
    <w:multiLevelType w:val="hybridMultilevel"/>
    <w:tmpl w:val="AC3CFE6A"/>
    <w:lvl w:ilvl="0" w:tplc="CECC0E4E">
      <w:start w:val="1"/>
      <w:numFmt w:val="bullet"/>
      <w:pStyle w:val="Bullet1"/>
      <w:lvlText w:val=""/>
      <w:lvlJc w:val="left"/>
      <w:pPr>
        <w:ind w:left="288" w:hanging="288"/>
      </w:pPr>
      <w:rPr>
        <w:rFonts w:ascii="Symbol" w:hAnsi="Symbol" w:hint="default"/>
        <w:b/>
        <w:i w:val="0"/>
        <w:color w:val="7C848A"/>
      </w:rPr>
    </w:lvl>
    <w:lvl w:ilvl="1" w:tplc="04090003" w:tentative="1">
      <w:start w:val="1"/>
      <w:numFmt w:val="bullet"/>
      <w:pStyle w:val="Para-1stLevel"/>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6A4B5B"/>
    <w:multiLevelType w:val="hybridMultilevel"/>
    <w:tmpl w:val="D1623C42"/>
    <w:lvl w:ilvl="0" w:tplc="764496E8">
      <w:start w:val="1"/>
      <w:numFmt w:val="lowerRoman"/>
      <w:pStyle w:val="Numbered3"/>
      <w:lvlText w:val="%1."/>
      <w:lvlJc w:val="right"/>
      <w:pPr>
        <w:ind w:left="1066" w:hanging="360"/>
      </w:pPr>
      <w:rPr>
        <w:rFonts w:ascii="Arial" w:hAnsi="Arial" w:hint="default"/>
        <w:b w:val="0"/>
        <w:i w:val="0"/>
        <w:color w:val="7C848A"/>
        <w:sz w:val="22"/>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 w15:restartNumberingAfterBreak="0">
    <w:nsid w:val="4C743109"/>
    <w:multiLevelType w:val="hybridMultilevel"/>
    <w:tmpl w:val="DD2E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74FF9"/>
    <w:multiLevelType w:val="hybridMultilevel"/>
    <w:tmpl w:val="2AB49B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46A2BE9"/>
    <w:multiLevelType w:val="hybridMultilevel"/>
    <w:tmpl w:val="04DCD45C"/>
    <w:name w:val="NumHeadingList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4C12661"/>
    <w:multiLevelType w:val="hybridMultilevel"/>
    <w:tmpl w:val="0DFCE63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5A8680E"/>
    <w:multiLevelType w:val="hybridMultilevel"/>
    <w:tmpl w:val="12DAA4D2"/>
    <w:lvl w:ilvl="0" w:tplc="8D0A22E8">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814A9A"/>
    <w:multiLevelType w:val="hybridMultilevel"/>
    <w:tmpl w:val="DE028E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200432"/>
    <w:multiLevelType w:val="hybridMultilevel"/>
    <w:tmpl w:val="58A2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9317D"/>
    <w:multiLevelType w:val="hybridMultilevel"/>
    <w:tmpl w:val="6D4EB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17CA8"/>
    <w:multiLevelType w:val="hybridMultilevel"/>
    <w:tmpl w:val="30A0D562"/>
    <w:lvl w:ilvl="0" w:tplc="0809001B">
      <w:start w:val="1"/>
      <w:numFmt w:val="lowerRoman"/>
      <w:lvlText w:val="%1."/>
      <w:lvlJc w:val="righ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3" w15:restartNumberingAfterBreak="0">
    <w:nsid w:val="5FE35A8A"/>
    <w:multiLevelType w:val="hybridMultilevel"/>
    <w:tmpl w:val="4AE4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838A5"/>
    <w:multiLevelType w:val="hybridMultilevel"/>
    <w:tmpl w:val="9ABED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6C60C8"/>
    <w:multiLevelType w:val="multilevel"/>
    <w:tmpl w:val="CE728254"/>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Wingdings" w:hAnsi="Wingdings" w:hint="default"/>
        <w:color w:val="002C77" w:themeColor="text1"/>
      </w:rPr>
    </w:lvl>
    <w:lvl w:ilvl="5">
      <w:start w:val="1"/>
      <w:numFmt w:val="lowerRoman"/>
      <w:pStyle w:val="ListBullet2"/>
      <w:lvlText w:val="–"/>
      <w:lvlJc w:val="left"/>
      <w:pPr>
        <w:tabs>
          <w:tab w:val="num" w:pos="720"/>
        </w:tabs>
        <w:ind w:left="720" w:hanging="360"/>
      </w:pPr>
      <w:rPr>
        <w:rFonts w:ascii="Times NR" w:hAnsi="Times NR"/>
      </w:rPr>
    </w:lvl>
    <w:lvl w:ilvl="6">
      <w:start w:val="1"/>
      <w:numFmt w:val="decimal"/>
      <w:pStyle w:val="ListBullet3"/>
      <w:lvlText w:val=""/>
      <w:lvlJc w:val="left"/>
      <w:pPr>
        <w:tabs>
          <w:tab w:val="num" w:pos="1080"/>
        </w:tabs>
        <w:ind w:left="1080" w:hanging="360"/>
      </w:pPr>
      <w:rPr>
        <w:rFonts w:ascii="Wingdings" w:hAnsi="Wingdings" w:hint="default"/>
      </w:rPr>
    </w:lvl>
    <w:lvl w:ilvl="7">
      <w:start w:val="1"/>
      <w:numFmt w:val="lowerLetter"/>
      <w:pStyle w:val="List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26" w15:restartNumberingAfterBreak="0">
    <w:nsid w:val="64124F87"/>
    <w:multiLevelType w:val="hybridMultilevel"/>
    <w:tmpl w:val="F51CD0C2"/>
    <w:lvl w:ilvl="0" w:tplc="3B3CF54A">
      <w:start w:val="1"/>
      <w:numFmt w:val="bullet"/>
      <w:pStyle w:val="Bullet2"/>
      <w:lvlText w:val=""/>
      <w:lvlJc w:val="left"/>
      <w:pPr>
        <w:ind w:left="648" w:hanging="360"/>
      </w:pPr>
      <w:rPr>
        <w:rFonts w:ascii="Symbol" w:hAnsi="Symbol" w:hint="default"/>
        <w:color w:val="7C848A"/>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96802BC"/>
    <w:multiLevelType w:val="hybridMultilevel"/>
    <w:tmpl w:val="2BD4F2AE"/>
    <w:lvl w:ilvl="0" w:tplc="08805466">
      <w:start w:val="1"/>
      <w:numFmt w:val="lowerLetter"/>
      <w:pStyle w:val="Numbered2"/>
      <w:lvlText w:val="%1."/>
      <w:lvlJc w:val="left"/>
      <w:pPr>
        <w:ind w:left="648" w:hanging="360"/>
      </w:pPr>
      <w:rPr>
        <w:rFonts w:ascii="Arial" w:hAnsi="Arial" w:hint="default"/>
        <w:b w:val="0"/>
        <w:i w:val="0"/>
        <w:color w:val="7C848A"/>
        <w:sz w:val="22"/>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15:restartNumberingAfterBreak="0">
    <w:nsid w:val="6A674874"/>
    <w:multiLevelType w:val="hybridMultilevel"/>
    <w:tmpl w:val="12F23D84"/>
    <w:lvl w:ilvl="0" w:tplc="76E825A4">
      <w:start w:val="1"/>
      <w:numFmt w:val="bullet"/>
      <w:pStyle w:val="TOC3"/>
      <w:lvlText w:val="─"/>
      <w:lvlJc w:val="left"/>
      <w:pPr>
        <w:ind w:left="1080" w:hanging="360"/>
      </w:pPr>
      <w:rPr>
        <w:rFonts w:ascii="Arial" w:hAnsi="Arial" w:hint="default"/>
        <w:color w:val="7C848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ED4EBD"/>
    <w:multiLevelType w:val="hybridMultilevel"/>
    <w:tmpl w:val="D794E1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062496"/>
    <w:multiLevelType w:val="hybridMultilevel"/>
    <w:tmpl w:val="A4A4BD5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E556D2"/>
    <w:multiLevelType w:val="hybridMultilevel"/>
    <w:tmpl w:val="E83C03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DA6FE9"/>
    <w:multiLevelType w:val="hybridMultilevel"/>
    <w:tmpl w:val="EC227D8A"/>
    <w:lvl w:ilvl="0" w:tplc="BB9A8540">
      <w:start w:val="1"/>
      <w:numFmt w:val="bullet"/>
      <w:pStyle w:val="Bullet3"/>
      <w:lvlText w:val="&gt;"/>
      <w:lvlJc w:val="left"/>
      <w:pPr>
        <w:ind w:left="1152" w:hanging="360"/>
      </w:pPr>
      <w:rPr>
        <w:rFonts w:ascii="Arial" w:hAnsi="Arial" w:hint="default"/>
        <w:color w:val="7C848A"/>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75BF0404"/>
    <w:multiLevelType w:val="hybridMultilevel"/>
    <w:tmpl w:val="8D3CBAC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A0035B4"/>
    <w:multiLevelType w:val="hybridMultilevel"/>
    <w:tmpl w:val="DA465962"/>
    <w:lvl w:ilvl="0" w:tplc="ACACEFD2">
      <w:start w:val="1"/>
      <w:numFmt w:val="decimal"/>
      <w:pStyle w:val="Numbered1"/>
      <w:lvlText w:val="%1."/>
      <w:lvlJc w:val="left"/>
      <w:pPr>
        <w:ind w:left="720" w:hanging="360"/>
      </w:pPr>
      <w:rPr>
        <w:rFonts w:ascii="Arial" w:hAnsi="Arial" w:hint="default"/>
        <w:b w:val="0"/>
        <w:i w:val="0"/>
        <w:color w:val="6D6E7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32"/>
  </w:num>
  <w:num w:numId="4">
    <w:abstractNumId w:val="4"/>
  </w:num>
  <w:num w:numId="5">
    <w:abstractNumId w:val="28"/>
  </w:num>
  <w:num w:numId="6">
    <w:abstractNumId w:val="10"/>
  </w:num>
  <w:num w:numId="7">
    <w:abstractNumId w:val="34"/>
  </w:num>
  <w:num w:numId="8">
    <w:abstractNumId w:val="27"/>
  </w:num>
  <w:num w:numId="9">
    <w:abstractNumId w:val="13"/>
  </w:num>
  <w:num w:numId="10">
    <w:abstractNumId w:val="18"/>
  </w:num>
  <w:num w:numId="11">
    <w:abstractNumId w:val="22"/>
  </w:num>
  <w:num w:numId="12">
    <w:abstractNumId w:val="31"/>
  </w:num>
  <w:num w:numId="13">
    <w:abstractNumId w:val="11"/>
  </w:num>
  <w:num w:numId="14">
    <w:abstractNumId w:val="24"/>
  </w:num>
  <w:num w:numId="15">
    <w:abstractNumId w:val="3"/>
  </w:num>
  <w:num w:numId="16">
    <w:abstractNumId w:val="9"/>
  </w:num>
  <w:num w:numId="17">
    <w:abstractNumId w:val="19"/>
  </w:num>
  <w:num w:numId="18">
    <w:abstractNumId w:val="25"/>
  </w:num>
  <w:num w:numId="19">
    <w:abstractNumId w:val="30"/>
  </w:num>
  <w:num w:numId="20">
    <w:abstractNumId w:val="8"/>
  </w:num>
  <w:num w:numId="21">
    <w:abstractNumId w:val="15"/>
  </w:num>
  <w:num w:numId="22">
    <w:abstractNumId w:val="33"/>
  </w:num>
  <w:num w:numId="23">
    <w:abstractNumId w:val="7"/>
  </w:num>
  <w:num w:numId="24">
    <w:abstractNumId w:val="21"/>
  </w:num>
  <w:num w:numId="25">
    <w:abstractNumId w:val="17"/>
  </w:num>
  <w:num w:numId="26">
    <w:abstractNumId w:val="14"/>
  </w:num>
  <w:num w:numId="27">
    <w:abstractNumId w:val="5"/>
  </w:num>
  <w:num w:numId="28">
    <w:abstractNumId w:val="1"/>
  </w:num>
  <w:num w:numId="29">
    <w:abstractNumId w:val="23"/>
  </w:num>
  <w:num w:numId="30">
    <w:abstractNumId w:val="2"/>
  </w:num>
  <w:num w:numId="31">
    <w:abstractNumId w:val="0"/>
  </w:num>
  <w:num w:numId="32">
    <w:abstractNumId w:val="20"/>
  </w:num>
  <w:num w:numId="33">
    <w:abstractNumId w:val="6"/>
  </w:num>
  <w:num w:numId="34">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defaultTableStyle w:val="TableGrid"/>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2AF"/>
    <w:rsid w:val="00001D28"/>
    <w:rsid w:val="00004830"/>
    <w:rsid w:val="00007369"/>
    <w:rsid w:val="00007C54"/>
    <w:rsid w:val="00010CA6"/>
    <w:rsid w:val="00013B0B"/>
    <w:rsid w:val="000140AE"/>
    <w:rsid w:val="00014B3A"/>
    <w:rsid w:val="00017241"/>
    <w:rsid w:val="00030769"/>
    <w:rsid w:val="00030D34"/>
    <w:rsid w:val="0003105F"/>
    <w:rsid w:val="00031BA0"/>
    <w:rsid w:val="00031C19"/>
    <w:rsid w:val="000339DE"/>
    <w:rsid w:val="0003465C"/>
    <w:rsid w:val="000349B4"/>
    <w:rsid w:val="000416ED"/>
    <w:rsid w:val="00041F52"/>
    <w:rsid w:val="00045AA6"/>
    <w:rsid w:val="00045DFC"/>
    <w:rsid w:val="000463A8"/>
    <w:rsid w:val="0004737C"/>
    <w:rsid w:val="00047BB9"/>
    <w:rsid w:val="00050371"/>
    <w:rsid w:val="00050E44"/>
    <w:rsid w:val="0005203B"/>
    <w:rsid w:val="00055030"/>
    <w:rsid w:val="0006048C"/>
    <w:rsid w:val="000605BE"/>
    <w:rsid w:val="00067FC5"/>
    <w:rsid w:val="0007006B"/>
    <w:rsid w:val="00071E0B"/>
    <w:rsid w:val="00071FA7"/>
    <w:rsid w:val="0007200C"/>
    <w:rsid w:val="000732B4"/>
    <w:rsid w:val="00075523"/>
    <w:rsid w:val="00076377"/>
    <w:rsid w:val="00076B81"/>
    <w:rsid w:val="00080775"/>
    <w:rsid w:val="0008605C"/>
    <w:rsid w:val="00092791"/>
    <w:rsid w:val="0009464B"/>
    <w:rsid w:val="00097557"/>
    <w:rsid w:val="00097BBA"/>
    <w:rsid w:val="000A0F32"/>
    <w:rsid w:val="000A1262"/>
    <w:rsid w:val="000A4EB6"/>
    <w:rsid w:val="000A75FF"/>
    <w:rsid w:val="000A7A11"/>
    <w:rsid w:val="000B0221"/>
    <w:rsid w:val="000B0C81"/>
    <w:rsid w:val="000B3D58"/>
    <w:rsid w:val="000B48E4"/>
    <w:rsid w:val="000B75E3"/>
    <w:rsid w:val="000B7EF4"/>
    <w:rsid w:val="000C2094"/>
    <w:rsid w:val="000C5337"/>
    <w:rsid w:val="000D1090"/>
    <w:rsid w:val="000E0AB6"/>
    <w:rsid w:val="000E11FA"/>
    <w:rsid w:val="000E312A"/>
    <w:rsid w:val="000E54A7"/>
    <w:rsid w:val="000E7542"/>
    <w:rsid w:val="000F50BE"/>
    <w:rsid w:val="001027CC"/>
    <w:rsid w:val="001028FE"/>
    <w:rsid w:val="001044CE"/>
    <w:rsid w:val="0010456F"/>
    <w:rsid w:val="00107302"/>
    <w:rsid w:val="00111203"/>
    <w:rsid w:val="00112B33"/>
    <w:rsid w:val="00112F06"/>
    <w:rsid w:val="0011648F"/>
    <w:rsid w:val="00117624"/>
    <w:rsid w:val="0012074D"/>
    <w:rsid w:val="00124D48"/>
    <w:rsid w:val="001318FE"/>
    <w:rsid w:val="00132817"/>
    <w:rsid w:val="00133B27"/>
    <w:rsid w:val="00133EE0"/>
    <w:rsid w:val="001362F6"/>
    <w:rsid w:val="001376E6"/>
    <w:rsid w:val="00140E3B"/>
    <w:rsid w:val="00142895"/>
    <w:rsid w:val="001433AC"/>
    <w:rsid w:val="00143AC3"/>
    <w:rsid w:val="0014441B"/>
    <w:rsid w:val="001451A2"/>
    <w:rsid w:val="00147856"/>
    <w:rsid w:val="00150826"/>
    <w:rsid w:val="00150FA4"/>
    <w:rsid w:val="00152E64"/>
    <w:rsid w:val="00153641"/>
    <w:rsid w:val="00155A45"/>
    <w:rsid w:val="00156840"/>
    <w:rsid w:val="00162360"/>
    <w:rsid w:val="00166661"/>
    <w:rsid w:val="00166AB3"/>
    <w:rsid w:val="00173C5C"/>
    <w:rsid w:val="00177D13"/>
    <w:rsid w:val="00181529"/>
    <w:rsid w:val="00181DCF"/>
    <w:rsid w:val="00182B78"/>
    <w:rsid w:val="00184063"/>
    <w:rsid w:val="0019198E"/>
    <w:rsid w:val="001A0778"/>
    <w:rsid w:val="001A1758"/>
    <w:rsid w:val="001B1C43"/>
    <w:rsid w:val="001B4F39"/>
    <w:rsid w:val="001B6155"/>
    <w:rsid w:val="001C2598"/>
    <w:rsid w:val="001C3E79"/>
    <w:rsid w:val="001C6503"/>
    <w:rsid w:val="001D104B"/>
    <w:rsid w:val="001D3773"/>
    <w:rsid w:val="001D4593"/>
    <w:rsid w:val="001D65EA"/>
    <w:rsid w:val="001E1E5C"/>
    <w:rsid w:val="001E75C3"/>
    <w:rsid w:val="001F1E2A"/>
    <w:rsid w:val="001F2926"/>
    <w:rsid w:val="001F322C"/>
    <w:rsid w:val="001F60C3"/>
    <w:rsid w:val="0020031B"/>
    <w:rsid w:val="00205807"/>
    <w:rsid w:val="00207A52"/>
    <w:rsid w:val="002111EB"/>
    <w:rsid w:val="00212B4D"/>
    <w:rsid w:val="00213F6B"/>
    <w:rsid w:val="00216BE5"/>
    <w:rsid w:val="0022120C"/>
    <w:rsid w:val="00225E2E"/>
    <w:rsid w:val="00226C76"/>
    <w:rsid w:val="00232F79"/>
    <w:rsid w:val="002331DF"/>
    <w:rsid w:val="00235C3F"/>
    <w:rsid w:val="002408EB"/>
    <w:rsid w:val="00242F9C"/>
    <w:rsid w:val="00246203"/>
    <w:rsid w:val="00246888"/>
    <w:rsid w:val="00247866"/>
    <w:rsid w:val="00250538"/>
    <w:rsid w:val="00250764"/>
    <w:rsid w:val="00252047"/>
    <w:rsid w:val="002570D4"/>
    <w:rsid w:val="00257E7D"/>
    <w:rsid w:val="0026229B"/>
    <w:rsid w:val="002642A6"/>
    <w:rsid w:val="00265BF8"/>
    <w:rsid w:val="002672E4"/>
    <w:rsid w:val="00267336"/>
    <w:rsid w:val="00271549"/>
    <w:rsid w:val="002724A2"/>
    <w:rsid w:val="00275BCB"/>
    <w:rsid w:val="002764AF"/>
    <w:rsid w:val="002771E2"/>
    <w:rsid w:val="002810BD"/>
    <w:rsid w:val="0028126F"/>
    <w:rsid w:val="00284746"/>
    <w:rsid w:val="00284EFD"/>
    <w:rsid w:val="00286A20"/>
    <w:rsid w:val="002904D4"/>
    <w:rsid w:val="00290E5F"/>
    <w:rsid w:val="00291724"/>
    <w:rsid w:val="00293BEE"/>
    <w:rsid w:val="0029515D"/>
    <w:rsid w:val="00296349"/>
    <w:rsid w:val="002A5920"/>
    <w:rsid w:val="002B07E4"/>
    <w:rsid w:val="002B12C2"/>
    <w:rsid w:val="002B389F"/>
    <w:rsid w:val="002C021C"/>
    <w:rsid w:val="002C0F15"/>
    <w:rsid w:val="002C640E"/>
    <w:rsid w:val="002C77FC"/>
    <w:rsid w:val="002D015A"/>
    <w:rsid w:val="002D079F"/>
    <w:rsid w:val="002D089D"/>
    <w:rsid w:val="002D15D1"/>
    <w:rsid w:val="002D29DD"/>
    <w:rsid w:val="002E282F"/>
    <w:rsid w:val="002E3B13"/>
    <w:rsid w:val="002E6802"/>
    <w:rsid w:val="002E7D8B"/>
    <w:rsid w:val="002F1C11"/>
    <w:rsid w:val="002F4945"/>
    <w:rsid w:val="002F7350"/>
    <w:rsid w:val="003008DD"/>
    <w:rsid w:val="003018DE"/>
    <w:rsid w:val="0031112A"/>
    <w:rsid w:val="00317629"/>
    <w:rsid w:val="0032007E"/>
    <w:rsid w:val="00321071"/>
    <w:rsid w:val="00322F22"/>
    <w:rsid w:val="00323117"/>
    <w:rsid w:val="003232A1"/>
    <w:rsid w:val="00323482"/>
    <w:rsid w:val="003259C8"/>
    <w:rsid w:val="00327950"/>
    <w:rsid w:val="00333347"/>
    <w:rsid w:val="00333F53"/>
    <w:rsid w:val="003348EB"/>
    <w:rsid w:val="0034244D"/>
    <w:rsid w:val="00342A0D"/>
    <w:rsid w:val="0034404B"/>
    <w:rsid w:val="00360680"/>
    <w:rsid w:val="0036578B"/>
    <w:rsid w:val="003703D0"/>
    <w:rsid w:val="00377FDC"/>
    <w:rsid w:val="0038041A"/>
    <w:rsid w:val="00382AEC"/>
    <w:rsid w:val="00385407"/>
    <w:rsid w:val="00385CF8"/>
    <w:rsid w:val="003873F7"/>
    <w:rsid w:val="00392570"/>
    <w:rsid w:val="00392ABC"/>
    <w:rsid w:val="00392D38"/>
    <w:rsid w:val="00393824"/>
    <w:rsid w:val="003952F8"/>
    <w:rsid w:val="003A1F16"/>
    <w:rsid w:val="003A25BE"/>
    <w:rsid w:val="003A7395"/>
    <w:rsid w:val="003C252B"/>
    <w:rsid w:val="003C3C0F"/>
    <w:rsid w:val="003C7B7A"/>
    <w:rsid w:val="003C7B7B"/>
    <w:rsid w:val="003D55B0"/>
    <w:rsid w:val="003E04EB"/>
    <w:rsid w:val="003E3221"/>
    <w:rsid w:val="003E3C54"/>
    <w:rsid w:val="003E55E3"/>
    <w:rsid w:val="003F1053"/>
    <w:rsid w:val="003F121C"/>
    <w:rsid w:val="003F26EA"/>
    <w:rsid w:val="003F2793"/>
    <w:rsid w:val="003F32B2"/>
    <w:rsid w:val="0040250A"/>
    <w:rsid w:val="004033F5"/>
    <w:rsid w:val="004052C2"/>
    <w:rsid w:val="004056FA"/>
    <w:rsid w:val="004067BC"/>
    <w:rsid w:val="004070DC"/>
    <w:rsid w:val="00407B73"/>
    <w:rsid w:val="00417F0E"/>
    <w:rsid w:val="00423E87"/>
    <w:rsid w:val="00424833"/>
    <w:rsid w:val="00431308"/>
    <w:rsid w:val="00433081"/>
    <w:rsid w:val="004346A0"/>
    <w:rsid w:val="00434DA7"/>
    <w:rsid w:val="00434F3C"/>
    <w:rsid w:val="00436D94"/>
    <w:rsid w:val="00440345"/>
    <w:rsid w:val="004416B4"/>
    <w:rsid w:val="00442A7E"/>
    <w:rsid w:val="00444641"/>
    <w:rsid w:val="004446C7"/>
    <w:rsid w:val="004449DA"/>
    <w:rsid w:val="00444CA1"/>
    <w:rsid w:val="00446723"/>
    <w:rsid w:val="00446E12"/>
    <w:rsid w:val="00452BB0"/>
    <w:rsid w:val="004535FC"/>
    <w:rsid w:val="004536B4"/>
    <w:rsid w:val="00454FF1"/>
    <w:rsid w:val="00455DD1"/>
    <w:rsid w:val="004622B1"/>
    <w:rsid w:val="00463EB0"/>
    <w:rsid w:val="00464DA9"/>
    <w:rsid w:val="00465C8A"/>
    <w:rsid w:val="0046637A"/>
    <w:rsid w:val="00467122"/>
    <w:rsid w:val="00467F9B"/>
    <w:rsid w:val="00474121"/>
    <w:rsid w:val="0047605F"/>
    <w:rsid w:val="004777CD"/>
    <w:rsid w:val="00492BC4"/>
    <w:rsid w:val="00493D0F"/>
    <w:rsid w:val="004A2174"/>
    <w:rsid w:val="004A3AE7"/>
    <w:rsid w:val="004A4702"/>
    <w:rsid w:val="004A6EB4"/>
    <w:rsid w:val="004B2475"/>
    <w:rsid w:val="004B33FA"/>
    <w:rsid w:val="004C1D93"/>
    <w:rsid w:val="004C2108"/>
    <w:rsid w:val="004C272B"/>
    <w:rsid w:val="004C5154"/>
    <w:rsid w:val="004C6C60"/>
    <w:rsid w:val="004D0E36"/>
    <w:rsid w:val="004D186C"/>
    <w:rsid w:val="004D23CA"/>
    <w:rsid w:val="004E5032"/>
    <w:rsid w:val="004E58EA"/>
    <w:rsid w:val="004E72B8"/>
    <w:rsid w:val="004F1A34"/>
    <w:rsid w:val="004F2A82"/>
    <w:rsid w:val="004F2D4C"/>
    <w:rsid w:val="004F60E8"/>
    <w:rsid w:val="004F6E29"/>
    <w:rsid w:val="00502D91"/>
    <w:rsid w:val="0050365F"/>
    <w:rsid w:val="00506D31"/>
    <w:rsid w:val="0050759C"/>
    <w:rsid w:val="00507BCB"/>
    <w:rsid w:val="00516779"/>
    <w:rsid w:val="005179FB"/>
    <w:rsid w:val="005321A1"/>
    <w:rsid w:val="0053601A"/>
    <w:rsid w:val="00536ED4"/>
    <w:rsid w:val="005378BC"/>
    <w:rsid w:val="00537EAD"/>
    <w:rsid w:val="0054174D"/>
    <w:rsid w:val="0054233F"/>
    <w:rsid w:val="00544D7D"/>
    <w:rsid w:val="005632AF"/>
    <w:rsid w:val="00566453"/>
    <w:rsid w:val="00574C51"/>
    <w:rsid w:val="0057576F"/>
    <w:rsid w:val="00576A39"/>
    <w:rsid w:val="00577104"/>
    <w:rsid w:val="00587D2B"/>
    <w:rsid w:val="00587E06"/>
    <w:rsid w:val="00590FB9"/>
    <w:rsid w:val="00592478"/>
    <w:rsid w:val="00595848"/>
    <w:rsid w:val="00597D55"/>
    <w:rsid w:val="00597F9D"/>
    <w:rsid w:val="005A08DB"/>
    <w:rsid w:val="005A137B"/>
    <w:rsid w:val="005A496C"/>
    <w:rsid w:val="005A4C71"/>
    <w:rsid w:val="005A671B"/>
    <w:rsid w:val="005A71D4"/>
    <w:rsid w:val="005A7FF6"/>
    <w:rsid w:val="005B203D"/>
    <w:rsid w:val="005B2B30"/>
    <w:rsid w:val="005B3136"/>
    <w:rsid w:val="005C367B"/>
    <w:rsid w:val="005C4191"/>
    <w:rsid w:val="005C5467"/>
    <w:rsid w:val="005C58B1"/>
    <w:rsid w:val="005D5CFD"/>
    <w:rsid w:val="005D5EE4"/>
    <w:rsid w:val="005E2E1D"/>
    <w:rsid w:val="005E2F07"/>
    <w:rsid w:val="005E70E5"/>
    <w:rsid w:val="005F01AE"/>
    <w:rsid w:val="005F037E"/>
    <w:rsid w:val="005F760C"/>
    <w:rsid w:val="00600059"/>
    <w:rsid w:val="006015AB"/>
    <w:rsid w:val="006023B0"/>
    <w:rsid w:val="006029A6"/>
    <w:rsid w:val="00603F34"/>
    <w:rsid w:val="0061476D"/>
    <w:rsid w:val="00617484"/>
    <w:rsid w:val="00620115"/>
    <w:rsid w:val="00625793"/>
    <w:rsid w:val="00626A71"/>
    <w:rsid w:val="00626B1C"/>
    <w:rsid w:val="006273CA"/>
    <w:rsid w:val="00630097"/>
    <w:rsid w:val="00631447"/>
    <w:rsid w:val="00636819"/>
    <w:rsid w:val="00646214"/>
    <w:rsid w:val="006469B0"/>
    <w:rsid w:val="006476DE"/>
    <w:rsid w:val="006479D8"/>
    <w:rsid w:val="00654471"/>
    <w:rsid w:val="00660FE1"/>
    <w:rsid w:val="006625BF"/>
    <w:rsid w:val="00662F07"/>
    <w:rsid w:val="006631D0"/>
    <w:rsid w:val="00665C9F"/>
    <w:rsid w:val="00667CD7"/>
    <w:rsid w:val="00677AC0"/>
    <w:rsid w:val="00681019"/>
    <w:rsid w:val="006810B9"/>
    <w:rsid w:val="00685101"/>
    <w:rsid w:val="006916F9"/>
    <w:rsid w:val="00692B8F"/>
    <w:rsid w:val="006A19F6"/>
    <w:rsid w:val="006A5E88"/>
    <w:rsid w:val="006A7359"/>
    <w:rsid w:val="006A737A"/>
    <w:rsid w:val="006B2393"/>
    <w:rsid w:val="006B2747"/>
    <w:rsid w:val="006B3ACF"/>
    <w:rsid w:val="006B520C"/>
    <w:rsid w:val="006B566B"/>
    <w:rsid w:val="006B7562"/>
    <w:rsid w:val="006C15DF"/>
    <w:rsid w:val="006C564B"/>
    <w:rsid w:val="006C5B0D"/>
    <w:rsid w:val="006C6DBE"/>
    <w:rsid w:val="006D1BA5"/>
    <w:rsid w:val="006D31CC"/>
    <w:rsid w:val="006D56DD"/>
    <w:rsid w:val="006E1A6F"/>
    <w:rsid w:val="006E74D6"/>
    <w:rsid w:val="006F30E3"/>
    <w:rsid w:val="006F6F16"/>
    <w:rsid w:val="006F78CE"/>
    <w:rsid w:val="007006EC"/>
    <w:rsid w:val="007020F0"/>
    <w:rsid w:val="00707751"/>
    <w:rsid w:val="0071240A"/>
    <w:rsid w:val="007125E0"/>
    <w:rsid w:val="00713964"/>
    <w:rsid w:val="007167D2"/>
    <w:rsid w:val="00716D1E"/>
    <w:rsid w:val="00721348"/>
    <w:rsid w:val="007251AC"/>
    <w:rsid w:val="0072531C"/>
    <w:rsid w:val="00725995"/>
    <w:rsid w:val="00730F8E"/>
    <w:rsid w:val="00735F9A"/>
    <w:rsid w:val="00737560"/>
    <w:rsid w:val="00742882"/>
    <w:rsid w:val="007445AE"/>
    <w:rsid w:val="00751BB4"/>
    <w:rsid w:val="007612FD"/>
    <w:rsid w:val="00762004"/>
    <w:rsid w:val="00762C4C"/>
    <w:rsid w:val="0076433C"/>
    <w:rsid w:val="00764903"/>
    <w:rsid w:val="00764F46"/>
    <w:rsid w:val="00766912"/>
    <w:rsid w:val="00766F6C"/>
    <w:rsid w:val="00767273"/>
    <w:rsid w:val="00771720"/>
    <w:rsid w:val="00773675"/>
    <w:rsid w:val="00776746"/>
    <w:rsid w:val="0078043A"/>
    <w:rsid w:val="0078045E"/>
    <w:rsid w:val="0078154D"/>
    <w:rsid w:val="0078202D"/>
    <w:rsid w:val="00783C5D"/>
    <w:rsid w:val="00785C18"/>
    <w:rsid w:val="00791416"/>
    <w:rsid w:val="00793D94"/>
    <w:rsid w:val="007A6501"/>
    <w:rsid w:val="007A74BA"/>
    <w:rsid w:val="007B0C0E"/>
    <w:rsid w:val="007B121E"/>
    <w:rsid w:val="007B3042"/>
    <w:rsid w:val="007B34B3"/>
    <w:rsid w:val="007B4405"/>
    <w:rsid w:val="007B54D0"/>
    <w:rsid w:val="007B7100"/>
    <w:rsid w:val="007B7701"/>
    <w:rsid w:val="007C1A8D"/>
    <w:rsid w:val="007C55E2"/>
    <w:rsid w:val="007C7549"/>
    <w:rsid w:val="007D4653"/>
    <w:rsid w:val="007D6665"/>
    <w:rsid w:val="007D74ED"/>
    <w:rsid w:val="007E77EE"/>
    <w:rsid w:val="007F4080"/>
    <w:rsid w:val="00804AD4"/>
    <w:rsid w:val="00804FD5"/>
    <w:rsid w:val="00806550"/>
    <w:rsid w:val="008067F7"/>
    <w:rsid w:val="00811BB8"/>
    <w:rsid w:val="00820906"/>
    <w:rsid w:val="00821117"/>
    <w:rsid w:val="00824369"/>
    <w:rsid w:val="00825B0A"/>
    <w:rsid w:val="0083399B"/>
    <w:rsid w:val="00840C9D"/>
    <w:rsid w:val="00841DD6"/>
    <w:rsid w:val="008422A7"/>
    <w:rsid w:val="00844C18"/>
    <w:rsid w:val="00851FC0"/>
    <w:rsid w:val="00855C2B"/>
    <w:rsid w:val="00856055"/>
    <w:rsid w:val="00856BB7"/>
    <w:rsid w:val="008577F8"/>
    <w:rsid w:val="00860487"/>
    <w:rsid w:val="00870FDF"/>
    <w:rsid w:val="00871ECB"/>
    <w:rsid w:val="00874A15"/>
    <w:rsid w:val="00880B8C"/>
    <w:rsid w:val="00885D30"/>
    <w:rsid w:val="00887830"/>
    <w:rsid w:val="0089374D"/>
    <w:rsid w:val="008950A5"/>
    <w:rsid w:val="008A0A57"/>
    <w:rsid w:val="008A1E3B"/>
    <w:rsid w:val="008A31C0"/>
    <w:rsid w:val="008A6FA3"/>
    <w:rsid w:val="008B1EC9"/>
    <w:rsid w:val="008B4452"/>
    <w:rsid w:val="008B5A1B"/>
    <w:rsid w:val="008B5DFB"/>
    <w:rsid w:val="008C4ABC"/>
    <w:rsid w:val="008C4EA5"/>
    <w:rsid w:val="008C4F23"/>
    <w:rsid w:val="008C63A2"/>
    <w:rsid w:val="008C6FD5"/>
    <w:rsid w:val="008D1A58"/>
    <w:rsid w:val="008E0756"/>
    <w:rsid w:val="008E7609"/>
    <w:rsid w:val="008E7D30"/>
    <w:rsid w:val="008F268E"/>
    <w:rsid w:val="008F2FA6"/>
    <w:rsid w:val="008F33D0"/>
    <w:rsid w:val="008F3A52"/>
    <w:rsid w:val="008F6787"/>
    <w:rsid w:val="009046CC"/>
    <w:rsid w:val="009064B7"/>
    <w:rsid w:val="00907BA3"/>
    <w:rsid w:val="0091244F"/>
    <w:rsid w:val="00912691"/>
    <w:rsid w:val="00914357"/>
    <w:rsid w:val="0091764D"/>
    <w:rsid w:val="00920477"/>
    <w:rsid w:val="0092116C"/>
    <w:rsid w:val="00922593"/>
    <w:rsid w:val="00931E2E"/>
    <w:rsid w:val="00933239"/>
    <w:rsid w:val="00935C4C"/>
    <w:rsid w:val="00937532"/>
    <w:rsid w:val="00942451"/>
    <w:rsid w:val="00945DFC"/>
    <w:rsid w:val="0095173B"/>
    <w:rsid w:val="00961DBD"/>
    <w:rsid w:val="0096232E"/>
    <w:rsid w:val="0096415D"/>
    <w:rsid w:val="00964DA0"/>
    <w:rsid w:val="009651C9"/>
    <w:rsid w:val="00966D29"/>
    <w:rsid w:val="009700FB"/>
    <w:rsid w:val="0097189B"/>
    <w:rsid w:val="0097232E"/>
    <w:rsid w:val="0097329E"/>
    <w:rsid w:val="00973934"/>
    <w:rsid w:val="0097422D"/>
    <w:rsid w:val="009848F1"/>
    <w:rsid w:val="00986E3E"/>
    <w:rsid w:val="0099195B"/>
    <w:rsid w:val="00992D51"/>
    <w:rsid w:val="009931A1"/>
    <w:rsid w:val="0099341C"/>
    <w:rsid w:val="009A55D1"/>
    <w:rsid w:val="009A68A0"/>
    <w:rsid w:val="009B2CB9"/>
    <w:rsid w:val="009B64F3"/>
    <w:rsid w:val="009C18F3"/>
    <w:rsid w:val="009C5C52"/>
    <w:rsid w:val="009C7A96"/>
    <w:rsid w:val="009D4A88"/>
    <w:rsid w:val="009D7DA5"/>
    <w:rsid w:val="009E0BE0"/>
    <w:rsid w:val="009E0CC0"/>
    <w:rsid w:val="009E4055"/>
    <w:rsid w:val="009F192F"/>
    <w:rsid w:val="00A02EA0"/>
    <w:rsid w:val="00A07C0C"/>
    <w:rsid w:val="00A118E0"/>
    <w:rsid w:val="00A120E4"/>
    <w:rsid w:val="00A165E5"/>
    <w:rsid w:val="00A177D4"/>
    <w:rsid w:val="00A204D0"/>
    <w:rsid w:val="00A2389F"/>
    <w:rsid w:val="00A24037"/>
    <w:rsid w:val="00A2420A"/>
    <w:rsid w:val="00A26F32"/>
    <w:rsid w:val="00A276E1"/>
    <w:rsid w:val="00A31408"/>
    <w:rsid w:val="00A31706"/>
    <w:rsid w:val="00A33248"/>
    <w:rsid w:val="00A33D13"/>
    <w:rsid w:val="00A36372"/>
    <w:rsid w:val="00A36F0C"/>
    <w:rsid w:val="00A3714B"/>
    <w:rsid w:val="00A405F5"/>
    <w:rsid w:val="00A40BC9"/>
    <w:rsid w:val="00A42D89"/>
    <w:rsid w:val="00A52388"/>
    <w:rsid w:val="00A52764"/>
    <w:rsid w:val="00A558F4"/>
    <w:rsid w:val="00A56833"/>
    <w:rsid w:val="00A57D2C"/>
    <w:rsid w:val="00A61F17"/>
    <w:rsid w:val="00A6554D"/>
    <w:rsid w:val="00A66A68"/>
    <w:rsid w:val="00A67DCB"/>
    <w:rsid w:val="00A67EE3"/>
    <w:rsid w:val="00A75E1D"/>
    <w:rsid w:val="00A75F51"/>
    <w:rsid w:val="00A76696"/>
    <w:rsid w:val="00A77297"/>
    <w:rsid w:val="00A778C4"/>
    <w:rsid w:val="00A819F6"/>
    <w:rsid w:val="00A87C6C"/>
    <w:rsid w:val="00A908EF"/>
    <w:rsid w:val="00A923AA"/>
    <w:rsid w:val="00A93238"/>
    <w:rsid w:val="00A93D0E"/>
    <w:rsid w:val="00AA127F"/>
    <w:rsid w:val="00AA2220"/>
    <w:rsid w:val="00AA359E"/>
    <w:rsid w:val="00AA56C5"/>
    <w:rsid w:val="00AB0384"/>
    <w:rsid w:val="00AB19FC"/>
    <w:rsid w:val="00AB5AEE"/>
    <w:rsid w:val="00AC57DB"/>
    <w:rsid w:val="00AC6C5C"/>
    <w:rsid w:val="00AD3BE2"/>
    <w:rsid w:val="00AE0891"/>
    <w:rsid w:val="00AE276E"/>
    <w:rsid w:val="00AE7ACE"/>
    <w:rsid w:val="00B0057D"/>
    <w:rsid w:val="00B019E5"/>
    <w:rsid w:val="00B01CB6"/>
    <w:rsid w:val="00B03198"/>
    <w:rsid w:val="00B0342C"/>
    <w:rsid w:val="00B05BF6"/>
    <w:rsid w:val="00B11AAD"/>
    <w:rsid w:val="00B12109"/>
    <w:rsid w:val="00B12349"/>
    <w:rsid w:val="00B1545B"/>
    <w:rsid w:val="00B27E4B"/>
    <w:rsid w:val="00B27F94"/>
    <w:rsid w:val="00B37E4E"/>
    <w:rsid w:val="00B434EA"/>
    <w:rsid w:val="00B4740D"/>
    <w:rsid w:val="00B55EC8"/>
    <w:rsid w:val="00B60800"/>
    <w:rsid w:val="00B61161"/>
    <w:rsid w:val="00B62603"/>
    <w:rsid w:val="00B73899"/>
    <w:rsid w:val="00B80750"/>
    <w:rsid w:val="00B81A91"/>
    <w:rsid w:val="00B82B19"/>
    <w:rsid w:val="00B870DC"/>
    <w:rsid w:val="00B909D1"/>
    <w:rsid w:val="00B91C56"/>
    <w:rsid w:val="00B91FD9"/>
    <w:rsid w:val="00B959B2"/>
    <w:rsid w:val="00B97114"/>
    <w:rsid w:val="00B97181"/>
    <w:rsid w:val="00B97B74"/>
    <w:rsid w:val="00BA0225"/>
    <w:rsid w:val="00BA0C73"/>
    <w:rsid w:val="00BA4809"/>
    <w:rsid w:val="00BB1336"/>
    <w:rsid w:val="00BB1EDA"/>
    <w:rsid w:val="00BC37E7"/>
    <w:rsid w:val="00BC5140"/>
    <w:rsid w:val="00BC65D0"/>
    <w:rsid w:val="00BD00CE"/>
    <w:rsid w:val="00BD150F"/>
    <w:rsid w:val="00BD4BB6"/>
    <w:rsid w:val="00BD6D12"/>
    <w:rsid w:val="00BE0191"/>
    <w:rsid w:val="00BE0A97"/>
    <w:rsid w:val="00BE2487"/>
    <w:rsid w:val="00BE4F33"/>
    <w:rsid w:val="00BF0B25"/>
    <w:rsid w:val="00BF3822"/>
    <w:rsid w:val="00BF4E31"/>
    <w:rsid w:val="00BF5EBC"/>
    <w:rsid w:val="00C02137"/>
    <w:rsid w:val="00C0349C"/>
    <w:rsid w:val="00C1001D"/>
    <w:rsid w:val="00C165D6"/>
    <w:rsid w:val="00C2031E"/>
    <w:rsid w:val="00C204DB"/>
    <w:rsid w:val="00C235C1"/>
    <w:rsid w:val="00C2788F"/>
    <w:rsid w:val="00C32570"/>
    <w:rsid w:val="00C344F7"/>
    <w:rsid w:val="00C36A56"/>
    <w:rsid w:val="00C4409B"/>
    <w:rsid w:val="00C471AC"/>
    <w:rsid w:val="00C52FFA"/>
    <w:rsid w:val="00C535F3"/>
    <w:rsid w:val="00C53F8D"/>
    <w:rsid w:val="00C5449A"/>
    <w:rsid w:val="00C56CFC"/>
    <w:rsid w:val="00C615AE"/>
    <w:rsid w:val="00C63073"/>
    <w:rsid w:val="00C64EAF"/>
    <w:rsid w:val="00C658EC"/>
    <w:rsid w:val="00C6672F"/>
    <w:rsid w:val="00C67D68"/>
    <w:rsid w:val="00C8069A"/>
    <w:rsid w:val="00C80E47"/>
    <w:rsid w:val="00C830FC"/>
    <w:rsid w:val="00C86099"/>
    <w:rsid w:val="00C86B99"/>
    <w:rsid w:val="00C873D8"/>
    <w:rsid w:val="00C90635"/>
    <w:rsid w:val="00C923A7"/>
    <w:rsid w:val="00C92461"/>
    <w:rsid w:val="00C92D31"/>
    <w:rsid w:val="00C95432"/>
    <w:rsid w:val="00C95DFC"/>
    <w:rsid w:val="00CA5D5C"/>
    <w:rsid w:val="00CB0030"/>
    <w:rsid w:val="00CB14E4"/>
    <w:rsid w:val="00CB4015"/>
    <w:rsid w:val="00CB772D"/>
    <w:rsid w:val="00CB7B0D"/>
    <w:rsid w:val="00CC2FF1"/>
    <w:rsid w:val="00CC3CF7"/>
    <w:rsid w:val="00CC6E3D"/>
    <w:rsid w:val="00CD4142"/>
    <w:rsid w:val="00CD4355"/>
    <w:rsid w:val="00CE138F"/>
    <w:rsid w:val="00CE1807"/>
    <w:rsid w:val="00CE2492"/>
    <w:rsid w:val="00CE28F5"/>
    <w:rsid w:val="00CE5BF1"/>
    <w:rsid w:val="00CE5E97"/>
    <w:rsid w:val="00CE783C"/>
    <w:rsid w:val="00CF21B5"/>
    <w:rsid w:val="00CF52F4"/>
    <w:rsid w:val="00CF5E2F"/>
    <w:rsid w:val="00D02360"/>
    <w:rsid w:val="00D04D1C"/>
    <w:rsid w:val="00D10212"/>
    <w:rsid w:val="00D15AFA"/>
    <w:rsid w:val="00D15BBF"/>
    <w:rsid w:val="00D1664E"/>
    <w:rsid w:val="00D2119E"/>
    <w:rsid w:val="00D211AC"/>
    <w:rsid w:val="00D21C9D"/>
    <w:rsid w:val="00D22540"/>
    <w:rsid w:val="00D23227"/>
    <w:rsid w:val="00D2343C"/>
    <w:rsid w:val="00D237F9"/>
    <w:rsid w:val="00D263D5"/>
    <w:rsid w:val="00D26E80"/>
    <w:rsid w:val="00D30399"/>
    <w:rsid w:val="00D30926"/>
    <w:rsid w:val="00D37FAC"/>
    <w:rsid w:val="00D40288"/>
    <w:rsid w:val="00D40415"/>
    <w:rsid w:val="00D42C36"/>
    <w:rsid w:val="00D53B45"/>
    <w:rsid w:val="00D55DA2"/>
    <w:rsid w:val="00D567FB"/>
    <w:rsid w:val="00D62474"/>
    <w:rsid w:val="00D6547D"/>
    <w:rsid w:val="00D67246"/>
    <w:rsid w:val="00D72215"/>
    <w:rsid w:val="00D77162"/>
    <w:rsid w:val="00D829DA"/>
    <w:rsid w:val="00D82ED6"/>
    <w:rsid w:val="00D83E65"/>
    <w:rsid w:val="00D84C83"/>
    <w:rsid w:val="00D9123F"/>
    <w:rsid w:val="00D91FF3"/>
    <w:rsid w:val="00D931EF"/>
    <w:rsid w:val="00D93C65"/>
    <w:rsid w:val="00DA031F"/>
    <w:rsid w:val="00DA0B6A"/>
    <w:rsid w:val="00DA0F2B"/>
    <w:rsid w:val="00DA20A4"/>
    <w:rsid w:val="00DA3D30"/>
    <w:rsid w:val="00DA795F"/>
    <w:rsid w:val="00DB0396"/>
    <w:rsid w:val="00DB2CE9"/>
    <w:rsid w:val="00DB3668"/>
    <w:rsid w:val="00DB393E"/>
    <w:rsid w:val="00DB4190"/>
    <w:rsid w:val="00DB7350"/>
    <w:rsid w:val="00DC17B2"/>
    <w:rsid w:val="00DC1C9F"/>
    <w:rsid w:val="00DC2880"/>
    <w:rsid w:val="00DC65E7"/>
    <w:rsid w:val="00DC687A"/>
    <w:rsid w:val="00DC78F2"/>
    <w:rsid w:val="00DD4930"/>
    <w:rsid w:val="00DD7C2B"/>
    <w:rsid w:val="00DE1758"/>
    <w:rsid w:val="00DE2634"/>
    <w:rsid w:val="00DF598B"/>
    <w:rsid w:val="00DF781A"/>
    <w:rsid w:val="00E07B9C"/>
    <w:rsid w:val="00E1030F"/>
    <w:rsid w:val="00E12144"/>
    <w:rsid w:val="00E2162B"/>
    <w:rsid w:val="00E21881"/>
    <w:rsid w:val="00E24CF6"/>
    <w:rsid w:val="00E26F57"/>
    <w:rsid w:val="00E27FC4"/>
    <w:rsid w:val="00E30DCC"/>
    <w:rsid w:val="00E3532A"/>
    <w:rsid w:val="00E36DB8"/>
    <w:rsid w:val="00E4664C"/>
    <w:rsid w:val="00E511C6"/>
    <w:rsid w:val="00E51EDF"/>
    <w:rsid w:val="00E56927"/>
    <w:rsid w:val="00E569E8"/>
    <w:rsid w:val="00E60542"/>
    <w:rsid w:val="00E639CB"/>
    <w:rsid w:val="00E63B5C"/>
    <w:rsid w:val="00E63FA2"/>
    <w:rsid w:val="00E64A97"/>
    <w:rsid w:val="00E65F85"/>
    <w:rsid w:val="00E67487"/>
    <w:rsid w:val="00E71DA0"/>
    <w:rsid w:val="00E73B76"/>
    <w:rsid w:val="00E74227"/>
    <w:rsid w:val="00E7454D"/>
    <w:rsid w:val="00E8301F"/>
    <w:rsid w:val="00E85C5F"/>
    <w:rsid w:val="00E86483"/>
    <w:rsid w:val="00E86742"/>
    <w:rsid w:val="00E907D0"/>
    <w:rsid w:val="00E960F3"/>
    <w:rsid w:val="00E9644D"/>
    <w:rsid w:val="00EA2F61"/>
    <w:rsid w:val="00EA377D"/>
    <w:rsid w:val="00EA6E81"/>
    <w:rsid w:val="00EA77CF"/>
    <w:rsid w:val="00EB439F"/>
    <w:rsid w:val="00EB6483"/>
    <w:rsid w:val="00EB73C9"/>
    <w:rsid w:val="00EC0BFC"/>
    <w:rsid w:val="00EC51D5"/>
    <w:rsid w:val="00EC55ED"/>
    <w:rsid w:val="00ED09BA"/>
    <w:rsid w:val="00ED39F5"/>
    <w:rsid w:val="00ED6193"/>
    <w:rsid w:val="00EE0A96"/>
    <w:rsid w:val="00EE3C4C"/>
    <w:rsid w:val="00EE537E"/>
    <w:rsid w:val="00EE5391"/>
    <w:rsid w:val="00EE5516"/>
    <w:rsid w:val="00EE5B55"/>
    <w:rsid w:val="00EE5C08"/>
    <w:rsid w:val="00EE5E8D"/>
    <w:rsid w:val="00EE5E8F"/>
    <w:rsid w:val="00EE6A71"/>
    <w:rsid w:val="00EE718D"/>
    <w:rsid w:val="00EE7B66"/>
    <w:rsid w:val="00EF3240"/>
    <w:rsid w:val="00EF58EE"/>
    <w:rsid w:val="00EF6516"/>
    <w:rsid w:val="00EF71B1"/>
    <w:rsid w:val="00F01383"/>
    <w:rsid w:val="00F01577"/>
    <w:rsid w:val="00F01A4B"/>
    <w:rsid w:val="00F030E8"/>
    <w:rsid w:val="00F03326"/>
    <w:rsid w:val="00F07495"/>
    <w:rsid w:val="00F12CA0"/>
    <w:rsid w:val="00F16DD4"/>
    <w:rsid w:val="00F17299"/>
    <w:rsid w:val="00F2278C"/>
    <w:rsid w:val="00F24C33"/>
    <w:rsid w:val="00F25049"/>
    <w:rsid w:val="00F25222"/>
    <w:rsid w:val="00F272AB"/>
    <w:rsid w:val="00F31A4C"/>
    <w:rsid w:val="00F33000"/>
    <w:rsid w:val="00F337B8"/>
    <w:rsid w:val="00F341EC"/>
    <w:rsid w:val="00F35E94"/>
    <w:rsid w:val="00F379E2"/>
    <w:rsid w:val="00F40719"/>
    <w:rsid w:val="00F40FDD"/>
    <w:rsid w:val="00F41D91"/>
    <w:rsid w:val="00F43720"/>
    <w:rsid w:val="00F442C1"/>
    <w:rsid w:val="00F4460A"/>
    <w:rsid w:val="00F524FA"/>
    <w:rsid w:val="00F6192D"/>
    <w:rsid w:val="00F63468"/>
    <w:rsid w:val="00F6655D"/>
    <w:rsid w:val="00F70515"/>
    <w:rsid w:val="00F776A6"/>
    <w:rsid w:val="00F82096"/>
    <w:rsid w:val="00F95C2D"/>
    <w:rsid w:val="00F96008"/>
    <w:rsid w:val="00FA2917"/>
    <w:rsid w:val="00FA2E70"/>
    <w:rsid w:val="00FA3A98"/>
    <w:rsid w:val="00FA4981"/>
    <w:rsid w:val="00FA57E7"/>
    <w:rsid w:val="00FB4193"/>
    <w:rsid w:val="00FB5329"/>
    <w:rsid w:val="00FB7EA8"/>
    <w:rsid w:val="00FC17D6"/>
    <w:rsid w:val="00FC3228"/>
    <w:rsid w:val="00FC5EF5"/>
    <w:rsid w:val="00FC7173"/>
    <w:rsid w:val="00FD66F6"/>
    <w:rsid w:val="00FD6A87"/>
    <w:rsid w:val="00FD7FEA"/>
    <w:rsid w:val="00FE2D79"/>
    <w:rsid w:val="00FE2DC0"/>
    <w:rsid w:val="00FE53CD"/>
    <w:rsid w:val="00FF2266"/>
    <w:rsid w:val="00FF2416"/>
    <w:rsid w:val="00FF4AFC"/>
    <w:rsid w:val="00FF596C"/>
    <w:rsid w:val="00FF6B01"/>
    <w:rsid w:val="00FF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3B93E8"/>
  <w15:docId w15:val="{B0D616A5-3A2A-4F14-854F-1061A96F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 w:unhideWhenUsed="1" w:qFormat="1"/>
    <w:lsdException w:name="toc 3" w:locked="0" w:semiHidden="1" w:uiPriority="3" w:unhideWhenUsed="1" w:qFormat="1"/>
    <w:lsdException w:name="toc 4" w:locked="0" w:semiHidden="1" w:uiPriority="3" w:unhideWhenUsed="1" w:qFormat="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341EC"/>
    <w:pPr>
      <w:spacing w:after="240" w:line="300" w:lineRule="exact"/>
    </w:pPr>
    <w:rPr>
      <w:rFonts w:ascii="Arial" w:hAnsi="Arial"/>
      <w:color w:val="7C848A"/>
      <w:sz w:val="22"/>
    </w:rPr>
  </w:style>
  <w:style w:type="paragraph" w:styleId="Heading1">
    <w:name w:val="heading 1"/>
    <w:basedOn w:val="Normal"/>
    <w:next w:val="Normal"/>
    <w:semiHidden/>
    <w:qFormat/>
    <w:locked/>
    <w:rsid w:val="00247866"/>
    <w:pPr>
      <w:keepNext/>
      <w:spacing w:after="0"/>
      <w:outlineLvl w:val="0"/>
    </w:pPr>
    <w:rPr>
      <w:b/>
      <w:caps/>
      <w:color w:val="002C77"/>
      <w:spacing w:val="40"/>
      <w:szCs w:val="28"/>
    </w:rPr>
  </w:style>
  <w:style w:type="paragraph" w:styleId="Heading2">
    <w:name w:val="heading 2"/>
    <w:basedOn w:val="Heading1"/>
    <w:next w:val="Normal"/>
    <w:semiHidden/>
    <w:qFormat/>
    <w:locked/>
    <w:rsid w:val="00B03198"/>
    <w:pPr>
      <w:outlineLvl w:val="1"/>
    </w:pPr>
    <w:rPr>
      <w:caps w:val="0"/>
      <w:color w:val="006D9E"/>
      <w:spacing w:val="5"/>
      <w:szCs w:val="26"/>
    </w:rPr>
  </w:style>
  <w:style w:type="paragraph" w:styleId="Heading3">
    <w:name w:val="heading 3"/>
    <w:basedOn w:val="Heading1"/>
    <w:next w:val="Normal"/>
    <w:semiHidden/>
    <w:qFormat/>
    <w:locked/>
    <w:rsid w:val="00B03198"/>
    <w:pPr>
      <w:outlineLvl w:val="2"/>
    </w:pPr>
    <w:rPr>
      <w:caps w:val="0"/>
      <w:color w:val="7C848A"/>
      <w:spacing w:val="0"/>
    </w:rPr>
  </w:style>
  <w:style w:type="paragraph" w:styleId="Heading4">
    <w:name w:val="heading 4"/>
    <w:basedOn w:val="Heading1"/>
    <w:next w:val="Normal"/>
    <w:semiHidden/>
    <w:qFormat/>
    <w:locked/>
    <w:pPr>
      <w:outlineLvl w:val="3"/>
    </w:pPr>
    <w:rPr>
      <w:i/>
      <w:sz w:val="24"/>
      <w:szCs w:val="24"/>
    </w:rPr>
  </w:style>
  <w:style w:type="paragraph" w:styleId="Heading5">
    <w:name w:val="heading 5"/>
    <w:basedOn w:val="Heading1"/>
    <w:next w:val="Normal"/>
    <w:semiHidden/>
    <w:qFormat/>
    <w:locked/>
    <w:pPr>
      <w:outlineLvl w:val="4"/>
    </w:pPr>
    <w:rPr>
      <w:szCs w:val="22"/>
    </w:rPr>
  </w:style>
  <w:style w:type="paragraph" w:styleId="Heading6">
    <w:name w:val="heading 6"/>
    <w:basedOn w:val="Heading1"/>
    <w:next w:val="Normal"/>
    <w:semiHidden/>
    <w:qFormat/>
    <w:locke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locked/>
    <w:rsid w:val="001C6503"/>
    <w:pPr>
      <w:tabs>
        <w:tab w:val="right" w:pos="9634"/>
      </w:tabs>
    </w:pPr>
    <w:rPr>
      <w:spacing w:val="40"/>
    </w:rPr>
  </w:style>
  <w:style w:type="paragraph" w:styleId="Header">
    <w:name w:val="header"/>
    <w:basedOn w:val="Normal"/>
    <w:semiHidden/>
    <w:locked/>
    <w:pPr>
      <w:tabs>
        <w:tab w:val="center" w:pos="4320"/>
        <w:tab w:val="right" w:pos="8640"/>
      </w:tabs>
    </w:pPr>
  </w:style>
  <w:style w:type="character" w:styleId="Hyperlink">
    <w:name w:val="Hyperlink"/>
    <w:uiPriority w:val="99"/>
    <w:locked/>
    <w:rPr>
      <w:color w:val="0000FF"/>
      <w:u w:val="single"/>
    </w:rPr>
  </w:style>
  <w:style w:type="character" w:styleId="PageNumber">
    <w:name w:val="page number"/>
    <w:basedOn w:val="DefaultParagraphFont"/>
    <w:semiHidden/>
    <w:locked/>
  </w:style>
  <w:style w:type="paragraph" w:styleId="Title">
    <w:name w:val="Title"/>
    <w:basedOn w:val="Normal"/>
    <w:next w:val="Normal"/>
    <w:semiHidden/>
    <w:qFormat/>
    <w:locked/>
    <w:rsid w:val="00F31A4C"/>
    <w:pPr>
      <w:spacing w:after="60"/>
      <w:jc w:val="center"/>
    </w:pPr>
    <w:rPr>
      <w:rFonts w:cs="Arial"/>
      <w:bCs/>
      <w:sz w:val="32"/>
      <w:szCs w:val="32"/>
    </w:rPr>
  </w:style>
  <w:style w:type="paragraph" w:styleId="TOC1">
    <w:name w:val="toc 1"/>
    <w:aliases w:val="*TOC 1"/>
    <w:uiPriority w:val="39"/>
    <w:qFormat/>
    <w:rsid w:val="000D1090"/>
    <w:pPr>
      <w:tabs>
        <w:tab w:val="right" w:leader="dot" w:pos="9965"/>
      </w:tabs>
      <w:spacing w:after="100" w:line="300" w:lineRule="exact"/>
    </w:pPr>
    <w:rPr>
      <w:rFonts w:ascii="Arial" w:hAnsi="Arial"/>
      <w:b/>
      <w:color w:val="7C848A"/>
      <w:sz w:val="22"/>
    </w:rPr>
  </w:style>
  <w:style w:type="paragraph" w:styleId="TOC2">
    <w:name w:val="toc 2"/>
    <w:aliases w:val="*TOC 2"/>
    <w:uiPriority w:val="3"/>
    <w:qFormat/>
    <w:rsid w:val="008F33D0"/>
    <w:pPr>
      <w:numPr>
        <w:numId w:val="4"/>
      </w:numPr>
      <w:tabs>
        <w:tab w:val="right" w:leader="underscore" w:pos="8640"/>
      </w:tabs>
    </w:pPr>
    <w:rPr>
      <w:rFonts w:ascii="Arial" w:hAnsi="Arial"/>
      <w:color w:val="7C848A"/>
      <w:sz w:val="22"/>
      <w:szCs w:val="22"/>
    </w:rPr>
  </w:style>
  <w:style w:type="paragraph" w:styleId="TOC3">
    <w:name w:val="toc 3"/>
    <w:aliases w:val="*TOC 3"/>
    <w:uiPriority w:val="3"/>
    <w:qFormat/>
    <w:rsid w:val="008F33D0"/>
    <w:pPr>
      <w:numPr>
        <w:numId w:val="5"/>
      </w:numPr>
      <w:tabs>
        <w:tab w:val="right" w:leader="underscore" w:pos="8640"/>
      </w:tabs>
    </w:pPr>
    <w:rPr>
      <w:rFonts w:ascii="Arial" w:hAnsi="Arial"/>
      <w:color w:val="7C848A"/>
      <w:sz w:val="22"/>
      <w:szCs w:val="16"/>
    </w:rPr>
  </w:style>
  <w:style w:type="paragraph" w:styleId="TOC4">
    <w:name w:val="toc 4"/>
    <w:aliases w:val="*TOC 4"/>
    <w:uiPriority w:val="3"/>
    <w:qFormat/>
    <w:rsid w:val="008F33D0"/>
    <w:pPr>
      <w:numPr>
        <w:numId w:val="6"/>
      </w:numPr>
      <w:tabs>
        <w:tab w:val="right" w:leader="underscore" w:pos="8640"/>
      </w:tabs>
      <w:spacing w:after="240" w:line="260" w:lineRule="atLeast"/>
    </w:pPr>
    <w:rPr>
      <w:rFonts w:ascii="Arial" w:hAnsi="Arial"/>
      <w:color w:val="7C848A"/>
      <w:sz w:val="22"/>
    </w:rPr>
  </w:style>
  <w:style w:type="paragraph" w:styleId="TOC5">
    <w:name w:val="toc 5"/>
    <w:basedOn w:val="Normal"/>
    <w:semiHidden/>
    <w:rsid w:val="00F31A4C"/>
    <w:pPr>
      <w:tabs>
        <w:tab w:val="right" w:leader="underscore" w:pos="8640"/>
      </w:tabs>
      <w:spacing w:before="60" w:after="60"/>
      <w:ind w:left="1152"/>
    </w:pPr>
    <w:rPr>
      <w:i/>
      <w:sz w:val="20"/>
    </w:rPr>
  </w:style>
  <w:style w:type="paragraph" w:styleId="TOC6">
    <w:name w:val="toc 6"/>
    <w:basedOn w:val="Normal"/>
    <w:semiHidden/>
    <w:rsid w:val="00F31A4C"/>
    <w:pPr>
      <w:tabs>
        <w:tab w:val="right" w:leader="underscore" w:pos="8640"/>
      </w:tabs>
      <w:spacing w:before="60" w:after="60"/>
      <w:ind w:left="1440"/>
    </w:pPr>
    <w:rPr>
      <w:b/>
      <w:i/>
      <w:sz w:val="20"/>
    </w:rPr>
  </w:style>
  <w:style w:type="paragraph" w:styleId="TOC7">
    <w:name w:val="toc 7"/>
    <w:basedOn w:val="Normal"/>
    <w:semiHidden/>
    <w:rsid w:val="00F31A4C"/>
    <w:pPr>
      <w:tabs>
        <w:tab w:val="right" w:leader="underscore" w:pos="8640"/>
      </w:tabs>
      <w:spacing w:before="60" w:after="60"/>
      <w:ind w:left="1728"/>
    </w:pPr>
    <w:rPr>
      <w:sz w:val="18"/>
    </w:rPr>
  </w:style>
  <w:style w:type="paragraph" w:styleId="TOC8">
    <w:name w:val="toc 8"/>
    <w:basedOn w:val="Normal"/>
    <w:semiHidden/>
    <w:rsid w:val="00F31A4C"/>
    <w:pPr>
      <w:tabs>
        <w:tab w:val="right" w:leader="underscore" w:pos="8640"/>
      </w:tabs>
      <w:spacing w:before="60" w:after="60"/>
      <w:ind w:left="2016"/>
    </w:pPr>
    <w:rPr>
      <w:i/>
      <w:sz w:val="18"/>
    </w:rPr>
  </w:style>
  <w:style w:type="paragraph" w:styleId="TOC9">
    <w:name w:val="toc 9"/>
    <w:basedOn w:val="Normal"/>
    <w:semiHidden/>
    <w:rsid w:val="00F31A4C"/>
    <w:pPr>
      <w:tabs>
        <w:tab w:val="right" w:leader="underscore" w:pos="8640"/>
      </w:tabs>
      <w:spacing w:before="60" w:after="60"/>
      <w:ind w:left="2304"/>
    </w:pPr>
    <w:rPr>
      <w:b/>
      <w:i/>
      <w:sz w:val="18"/>
    </w:rPr>
  </w:style>
  <w:style w:type="paragraph" w:customStyle="1" w:styleId="AppendixTitle">
    <w:name w:val="*Appendix Title"/>
    <w:next w:val="Normal"/>
    <w:uiPriority w:val="2"/>
    <w:qFormat/>
    <w:rsid w:val="00392ABC"/>
    <w:pPr>
      <w:pageBreakBefore/>
    </w:pPr>
    <w:rPr>
      <w:rFonts w:ascii="Arial" w:hAnsi="Arial"/>
      <w:caps/>
      <w:color w:val="002C77"/>
      <w:spacing w:val="40"/>
      <w:sz w:val="52"/>
      <w:szCs w:val="28"/>
    </w:rPr>
  </w:style>
  <w:style w:type="paragraph" w:customStyle="1" w:styleId="AppendixSubtitle">
    <w:name w:val="*Appendix Subtitle"/>
    <w:next w:val="Normal"/>
    <w:uiPriority w:val="3"/>
    <w:qFormat/>
    <w:rsid w:val="00392ABC"/>
    <w:pPr>
      <w:spacing w:after="240"/>
    </w:pPr>
    <w:rPr>
      <w:rFonts w:ascii="Arial" w:hAnsi="Arial" w:cs="Arial"/>
      <w:caps/>
      <w:color w:val="00A8C8"/>
      <w:spacing w:val="40"/>
      <w:sz w:val="36"/>
      <w:szCs w:val="24"/>
    </w:rPr>
  </w:style>
  <w:style w:type="paragraph" w:customStyle="1" w:styleId="Footer0">
    <w:name w:val="*Footer"/>
    <w:uiPriority w:val="3"/>
    <w:qFormat/>
    <w:rsid w:val="00961DBD"/>
    <w:pPr>
      <w:tabs>
        <w:tab w:val="right" w:pos="9634"/>
      </w:tabs>
    </w:pPr>
    <w:rPr>
      <w:rFonts w:ascii="Arial" w:hAnsi="Arial"/>
      <w:caps/>
      <w:color w:val="7C848A"/>
      <w:spacing w:val="40"/>
      <w:sz w:val="16"/>
      <w:szCs w:val="22"/>
    </w:rPr>
  </w:style>
  <w:style w:type="paragraph" w:customStyle="1" w:styleId="ReportTitle">
    <w:name w:val="*Report Title"/>
    <w:uiPriority w:val="1"/>
    <w:qFormat/>
    <w:rsid w:val="00961DBD"/>
    <w:rPr>
      <w:rFonts w:ascii="Arial" w:hAnsi="Arial"/>
      <w:caps/>
      <w:color w:val="7C848A"/>
      <w:spacing w:val="40"/>
      <w:sz w:val="16"/>
      <w:szCs w:val="22"/>
    </w:rPr>
  </w:style>
  <w:style w:type="paragraph" w:customStyle="1" w:styleId="SectionNumber">
    <w:name w:val="*Section Number"/>
    <w:next w:val="SectionHeading"/>
    <w:uiPriority w:val="1"/>
    <w:qFormat/>
    <w:rsid w:val="00FC17D6"/>
    <w:pPr>
      <w:pageBreakBefore/>
      <w:shd w:val="clear" w:color="FFFFFF" w:fill="auto"/>
      <w:outlineLvl w:val="0"/>
    </w:pPr>
    <w:rPr>
      <w:rFonts w:ascii="Arial" w:hAnsi="Arial"/>
      <w:b/>
      <w:caps/>
      <w:color w:val="002C77"/>
      <w:spacing w:val="60"/>
      <w:sz w:val="72"/>
      <w:szCs w:val="44"/>
    </w:rPr>
  </w:style>
  <w:style w:type="paragraph" w:customStyle="1" w:styleId="SectionHeading">
    <w:name w:val="*Section Heading"/>
    <w:next w:val="DocumentText"/>
    <w:uiPriority w:val="1"/>
    <w:qFormat/>
    <w:rsid w:val="00F25222"/>
    <w:pPr>
      <w:spacing w:after="360"/>
      <w:ind w:right="-6"/>
      <w:outlineLvl w:val="1"/>
    </w:pPr>
    <w:rPr>
      <w:rFonts w:ascii="Arial" w:hAnsi="Arial"/>
      <w:caps/>
      <w:color w:val="00A8C8"/>
      <w:spacing w:val="40"/>
      <w:sz w:val="36"/>
      <w:szCs w:val="28"/>
    </w:rPr>
  </w:style>
  <w:style w:type="paragraph" w:customStyle="1" w:styleId="Heading10">
    <w:name w:val="*Heading 1"/>
    <w:next w:val="DocumentText"/>
    <w:uiPriority w:val="1"/>
    <w:qFormat/>
    <w:rsid w:val="00013B0B"/>
    <w:pPr>
      <w:spacing w:line="300" w:lineRule="exact"/>
      <w:outlineLvl w:val="2"/>
    </w:pPr>
    <w:rPr>
      <w:rFonts w:ascii="Arial" w:hAnsi="Arial"/>
      <w:caps/>
      <w:color w:val="002C77"/>
      <w:spacing w:val="30"/>
      <w:sz w:val="22"/>
      <w:szCs w:val="26"/>
    </w:rPr>
  </w:style>
  <w:style w:type="paragraph" w:customStyle="1" w:styleId="Heading20">
    <w:name w:val="*Heading 2"/>
    <w:next w:val="DocumentText"/>
    <w:uiPriority w:val="1"/>
    <w:qFormat/>
    <w:rsid w:val="00FC17D6"/>
    <w:pPr>
      <w:spacing w:line="300" w:lineRule="exact"/>
    </w:pPr>
    <w:rPr>
      <w:rFonts w:ascii="Arial" w:hAnsi="Arial"/>
      <w:b/>
      <w:color w:val="006D9E"/>
      <w:spacing w:val="5"/>
      <w:sz w:val="22"/>
      <w:szCs w:val="22"/>
    </w:rPr>
  </w:style>
  <w:style w:type="paragraph" w:customStyle="1" w:styleId="Heading30">
    <w:name w:val="*Heading 3"/>
    <w:next w:val="DocumentText"/>
    <w:uiPriority w:val="1"/>
    <w:qFormat/>
    <w:rsid w:val="00FC17D6"/>
    <w:pPr>
      <w:spacing w:line="300" w:lineRule="exact"/>
    </w:pPr>
    <w:rPr>
      <w:rFonts w:ascii="Arial" w:hAnsi="Arial"/>
      <w:b/>
      <w:color w:val="7C848A"/>
      <w:sz w:val="22"/>
      <w:szCs w:val="22"/>
    </w:rPr>
  </w:style>
  <w:style w:type="paragraph" w:customStyle="1" w:styleId="DocumentText">
    <w:name w:val="*Document Text"/>
    <w:link w:val="DocumentTextChar"/>
    <w:qFormat/>
    <w:rsid w:val="00162360"/>
    <w:pPr>
      <w:spacing w:after="240" w:line="300" w:lineRule="exact"/>
    </w:pPr>
    <w:rPr>
      <w:rFonts w:ascii="Arial" w:hAnsi="Arial"/>
      <w:color w:val="7C848A"/>
      <w:sz w:val="22"/>
      <w:szCs w:val="22"/>
    </w:rPr>
  </w:style>
  <w:style w:type="paragraph" w:customStyle="1" w:styleId="Bullet1">
    <w:name w:val="*Bullet 1"/>
    <w:uiPriority w:val="1"/>
    <w:qFormat/>
    <w:rsid w:val="006631D0"/>
    <w:pPr>
      <w:numPr>
        <w:numId w:val="1"/>
      </w:numPr>
      <w:spacing w:line="300" w:lineRule="exact"/>
    </w:pPr>
    <w:rPr>
      <w:rFonts w:ascii="Arial" w:hAnsi="Arial"/>
      <w:color w:val="7C848A"/>
      <w:sz w:val="22"/>
      <w:szCs w:val="22"/>
    </w:rPr>
  </w:style>
  <w:style w:type="paragraph" w:customStyle="1" w:styleId="Bullet2">
    <w:name w:val="*Bullet 2"/>
    <w:uiPriority w:val="1"/>
    <w:qFormat/>
    <w:rsid w:val="006631D0"/>
    <w:pPr>
      <w:numPr>
        <w:numId w:val="2"/>
      </w:numPr>
      <w:spacing w:line="300" w:lineRule="exact"/>
    </w:pPr>
    <w:rPr>
      <w:rFonts w:ascii="Arial" w:hAnsi="Arial"/>
      <w:color w:val="7C848A"/>
      <w:sz w:val="22"/>
      <w:szCs w:val="22"/>
    </w:rPr>
  </w:style>
  <w:style w:type="paragraph" w:customStyle="1" w:styleId="DocumentTOCHeading">
    <w:name w:val="*Document TOC Heading"/>
    <w:next w:val="DocumentText"/>
    <w:uiPriority w:val="1"/>
    <w:qFormat/>
    <w:rsid w:val="00FC17D6"/>
    <w:pPr>
      <w:shd w:val="clear" w:color="FFFFFF" w:fill="auto"/>
      <w:spacing w:before="1800" w:after="500"/>
    </w:pPr>
    <w:rPr>
      <w:rFonts w:ascii="Arial" w:hAnsi="Arial"/>
      <w:b/>
      <w:smallCaps/>
      <w:color w:val="7C848A"/>
      <w:spacing w:val="40"/>
      <w:sz w:val="36"/>
      <w:szCs w:val="44"/>
    </w:rPr>
  </w:style>
  <w:style w:type="paragraph" w:customStyle="1" w:styleId="TableHead">
    <w:name w:val="*Table Head"/>
    <w:uiPriority w:val="1"/>
    <w:qFormat/>
    <w:rsid w:val="000140AE"/>
    <w:pPr>
      <w:keepNext/>
    </w:pPr>
    <w:rPr>
      <w:rFonts w:ascii="Arial" w:hAnsi="Arial"/>
      <w:b/>
      <w:color w:val="FFFFFF" w:themeColor="background1"/>
      <w:szCs w:val="22"/>
    </w:rPr>
  </w:style>
  <w:style w:type="paragraph" w:customStyle="1" w:styleId="TableText">
    <w:name w:val="*Table Text"/>
    <w:uiPriority w:val="1"/>
    <w:qFormat/>
    <w:rsid w:val="00D62474"/>
    <w:pPr>
      <w:spacing w:before="40" w:after="40"/>
    </w:pPr>
    <w:rPr>
      <w:rFonts w:ascii="Arial" w:hAnsi="Arial"/>
      <w:color w:val="7C848A"/>
      <w:szCs w:val="22"/>
    </w:rPr>
  </w:style>
  <w:style w:type="paragraph" w:customStyle="1" w:styleId="ProposalTitle">
    <w:name w:val="*Proposal Title"/>
    <w:next w:val="ProposalSubtitle"/>
    <w:uiPriority w:val="1"/>
    <w:qFormat/>
    <w:rsid w:val="006D56DD"/>
    <w:pPr>
      <w:spacing w:before="1000" w:after="240"/>
    </w:pPr>
    <w:rPr>
      <w:rFonts w:ascii="Arial" w:hAnsi="Arial"/>
      <w:b/>
      <w:caps/>
      <w:color w:val="002C77"/>
      <w:spacing w:val="40"/>
      <w:sz w:val="52"/>
      <w:szCs w:val="48"/>
    </w:rPr>
  </w:style>
  <w:style w:type="paragraph" w:customStyle="1" w:styleId="ProposalSubtitle">
    <w:name w:val="*Proposal Subtitle"/>
    <w:next w:val="DocumentText"/>
    <w:uiPriority w:val="1"/>
    <w:qFormat/>
    <w:rsid w:val="006D56DD"/>
    <w:pPr>
      <w:spacing w:before="480" w:after="480"/>
    </w:pPr>
    <w:rPr>
      <w:rFonts w:ascii="Arial" w:hAnsi="Arial"/>
      <w:color w:val="7C848A"/>
      <w:spacing w:val="10"/>
      <w:sz w:val="28"/>
      <w:szCs w:val="36"/>
    </w:rPr>
  </w:style>
  <w:style w:type="paragraph" w:customStyle="1" w:styleId="TitlePageSubTitle">
    <w:name w:val="*Title Page Sub Title"/>
    <w:uiPriority w:val="1"/>
    <w:qFormat/>
    <w:rsid w:val="00AE7ACE"/>
    <w:pPr>
      <w:spacing w:before="240" w:after="240"/>
    </w:pPr>
    <w:rPr>
      <w:rFonts w:ascii="Arial" w:hAnsi="Arial"/>
      <w:caps/>
      <w:color w:val="00A8C8"/>
      <w:spacing w:val="40"/>
      <w:sz w:val="52"/>
      <w:szCs w:val="22"/>
    </w:rPr>
  </w:style>
  <w:style w:type="paragraph" w:customStyle="1" w:styleId="TitlePageDate">
    <w:name w:val="*Title Page Date"/>
    <w:uiPriority w:val="1"/>
    <w:qFormat/>
    <w:rsid w:val="00F03326"/>
    <w:pPr>
      <w:spacing w:before="480" w:after="480"/>
    </w:pPr>
    <w:rPr>
      <w:rFonts w:ascii="Arial" w:hAnsi="Arial"/>
      <w:caps/>
      <w:color w:val="00A8C8"/>
      <w:spacing w:val="40"/>
      <w:sz w:val="36"/>
      <w:szCs w:val="24"/>
    </w:rPr>
  </w:style>
  <w:style w:type="paragraph" w:customStyle="1" w:styleId="TitlePageHWCLockup">
    <w:name w:val="*Title Page HWC Lockup"/>
    <w:next w:val="TitlePageSubTitle"/>
    <w:uiPriority w:val="3"/>
    <w:qFormat/>
    <w:rsid w:val="00EB73C9"/>
    <w:rPr>
      <w:rFonts w:ascii="Arial" w:hAnsi="Arial"/>
      <w:b/>
      <w:caps/>
      <w:color w:val="7C848A"/>
      <w:spacing w:val="40"/>
      <w:szCs w:val="22"/>
    </w:rPr>
  </w:style>
  <w:style w:type="paragraph" w:customStyle="1" w:styleId="QuestionHeader">
    <w:name w:val="*Question Header"/>
    <w:next w:val="Normal"/>
    <w:uiPriority w:val="1"/>
    <w:rsid w:val="009A55D1"/>
    <w:pPr>
      <w:spacing w:after="120" w:line="300" w:lineRule="exact"/>
    </w:pPr>
    <w:rPr>
      <w:rFonts w:ascii="Arial" w:hAnsi="Arial"/>
      <w:caps/>
      <w:color w:val="00A8C8"/>
      <w:spacing w:val="40"/>
      <w:sz w:val="22"/>
      <w:szCs w:val="22"/>
    </w:rPr>
  </w:style>
  <w:style w:type="paragraph" w:customStyle="1" w:styleId="Questions">
    <w:name w:val="*Questions"/>
    <w:next w:val="DocumentText"/>
    <w:uiPriority w:val="1"/>
    <w:qFormat/>
    <w:rsid w:val="00FF6F2F"/>
    <w:pPr>
      <w:spacing w:line="300" w:lineRule="exact"/>
      <w:ind w:left="709" w:hanging="709"/>
    </w:pPr>
    <w:rPr>
      <w:rFonts w:ascii="Arial" w:hAnsi="Arial"/>
      <w:b/>
      <w:color w:val="00A8C8"/>
      <w:spacing w:val="5"/>
      <w:sz w:val="22"/>
      <w:szCs w:val="22"/>
      <w:lang w:val="en-GB"/>
    </w:rPr>
  </w:style>
  <w:style w:type="paragraph" w:customStyle="1" w:styleId="TitlePageTagline">
    <w:name w:val="*Title Page Tagline"/>
    <w:uiPriority w:val="99"/>
    <w:rsid w:val="007B0C0E"/>
    <w:pPr>
      <w:spacing w:before="60" w:after="60" w:line="300" w:lineRule="exact"/>
    </w:pPr>
    <w:rPr>
      <w:rFonts w:ascii="Arial" w:hAnsi="Arial"/>
      <w:b/>
      <w:color w:val="7C848A"/>
      <w:sz w:val="36"/>
      <w:szCs w:val="22"/>
    </w:rPr>
  </w:style>
  <w:style w:type="paragraph" w:customStyle="1" w:styleId="ClientNameHeader">
    <w:name w:val="*Client Name Header"/>
    <w:basedOn w:val="ReportTitle"/>
    <w:uiPriority w:val="3"/>
    <w:qFormat/>
    <w:rsid w:val="00961DBD"/>
    <w:pPr>
      <w:jc w:val="right"/>
    </w:pPr>
    <w:rPr>
      <w:b/>
    </w:rPr>
  </w:style>
  <w:style w:type="paragraph" w:customStyle="1" w:styleId="Bullet3">
    <w:name w:val="*Bullet 3"/>
    <w:basedOn w:val="Bullet2"/>
    <w:uiPriority w:val="1"/>
    <w:qFormat/>
    <w:rsid w:val="006631D0"/>
    <w:pPr>
      <w:numPr>
        <w:numId w:val="3"/>
      </w:numPr>
      <w:ind w:left="1138" w:hanging="432"/>
    </w:pPr>
  </w:style>
  <w:style w:type="paragraph" w:customStyle="1" w:styleId="TableTitle">
    <w:name w:val="*Table Title"/>
    <w:uiPriority w:val="2"/>
    <w:qFormat/>
    <w:rsid w:val="00FC17D6"/>
    <w:pPr>
      <w:spacing w:after="240" w:line="300" w:lineRule="exact"/>
    </w:pPr>
    <w:rPr>
      <w:rFonts w:ascii="Arial" w:hAnsi="Arial"/>
      <w:b/>
      <w:caps/>
      <w:color w:val="00A8C8"/>
      <w:spacing w:val="60"/>
      <w:sz w:val="22"/>
      <w:szCs w:val="22"/>
    </w:rPr>
  </w:style>
  <w:style w:type="paragraph" w:customStyle="1" w:styleId="TableNormal0">
    <w:name w:val="*Table Normal"/>
    <w:uiPriority w:val="2"/>
    <w:qFormat/>
    <w:rsid w:val="002F4945"/>
    <w:pPr>
      <w:spacing w:before="60" w:after="60" w:line="260" w:lineRule="exact"/>
    </w:pPr>
    <w:rPr>
      <w:rFonts w:ascii="Arial" w:hAnsi="Arial"/>
      <w:color w:val="7C848A"/>
      <w:szCs w:val="22"/>
    </w:rPr>
  </w:style>
  <w:style w:type="table" w:styleId="TableGrid">
    <w:name w:val="Table Grid"/>
    <w:aliases w:val="Tender Table 1"/>
    <w:basedOn w:val="TableNormal"/>
    <w:locked/>
    <w:rsid w:val="006D56DD"/>
    <w:pPr>
      <w:spacing w:line="240" w:lineRule="exact"/>
    </w:pPr>
    <w:tblPr>
      <w:tblBorders>
        <w:insideH w:val="single" w:sz="4" w:space="0" w:color="808080" w:themeColor="background1" w:themeShade="80"/>
      </w:tblBorders>
    </w:tblPr>
    <w:tcPr>
      <w:shd w:val="clear" w:color="auto" w:fill="F2F2F2" w:themeFill="background1" w:themeFillShade="F2"/>
      <w:vAlign w:val="center"/>
    </w:tcPr>
  </w:style>
  <w:style w:type="table" w:customStyle="1" w:styleId="MercerTable">
    <w:name w:val="*Mercer Table"/>
    <w:basedOn w:val="TableNormal"/>
    <w:uiPriority w:val="99"/>
    <w:rsid w:val="00184063"/>
    <w:rPr>
      <w:rFonts w:ascii="Arial" w:hAnsi="Arial"/>
      <w:sz w:val="18"/>
    </w:rPr>
    <w:tblPr/>
    <w:tblStylePr w:type="firstRow">
      <w:rPr>
        <w:rFonts w:ascii="Arial" w:hAnsi="Arial"/>
        <w:color w:val="FFFFFF" w:themeColor="background1"/>
        <w:sz w:val="18"/>
      </w:rPr>
      <w:tblPr/>
      <w:tcPr>
        <w:shd w:val="clear" w:color="auto" w:fill="00A8C8"/>
      </w:tcPr>
    </w:tblStylePr>
  </w:style>
  <w:style w:type="paragraph" w:customStyle="1" w:styleId="TableSubheading">
    <w:name w:val="*Table Subheading"/>
    <w:uiPriority w:val="2"/>
    <w:qFormat/>
    <w:rsid w:val="00D62474"/>
    <w:rPr>
      <w:rFonts w:ascii="Arial Bold" w:hAnsi="Arial Bold"/>
      <w:b/>
      <w:caps/>
      <w:color w:val="7C848A"/>
      <w:spacing w:val="60"/>
      <w:sz w:val="18"/>
    </w:rPr>
  </w:style>
  <w:style w:type="paragraph" w:customStyle="1" w:styleId="TableTextBold">
    <w:name w:val="*Table Text Bold"/>
    <w:basedOn w:val="TableText"/>
    <w:uiPriority w:val="2"/>
    <w:rsid w:val="00162360"/>
    <w:rPr>
      <w:b/>
    </w:rPr>
  </w:style>
  <w:style w:type="paragraph" w:customStyle="1" w:styleId="IntroText">
    <w:name w:val="*Intro Text"/>
    <w:uiPriority w:val="1"/>
    <w:qFormat/>
    <w:rsid w:val="00162360"/>
    <w:pPr>
      <w:spacing w:before="120" w:after="240"/>
    </w:pPr>
    <w:rPr>
      <w:rFonts w:ascii="Arial" w:hAnsi="Arial"/>
      <w:color w:val="7C848A"/>
      <w:sz w:val="24"/>
    </w:rPr>
  </w:style>
  <w:style w:type="paragraph" w:customStyle="1" w:styleId="AppendixSectionTitle">
    <w:name w:val="*Appendix Section Title"/>
    <w:uiPriority w:val="3"/>
    <w:qFormat/>
    <w:rsid w:val="00FC17D6"/>
    <w:pPr>
      <w:spacing w:after="360"/>
    </w:pPr>
    <w:rPr>
      <w:rFonts w:ascii="Arial" w:hAnsi="Arial"/>
      <w:b/>
      <w:caps/>
      <w:color w:val="FFFFFF" w:themeColor="background1"/>
      <w:spacing w:val="40"/>
      <w:sz w:val="44"/>
      <w:szCs w:val="44"/>
    </w:rPr>
  </w:style>
  <w:style w:type="paragraph" w:customStyle="1" w:styleId="BackcoverCompanyName">
    <w:name w:val="*Backcover Company Name"/>
    <w:uiPriority w:val="3"/>
    <w:qFormat/>
    <w:rsid w:val="00FC17D6"/>
    <w:rPr>
      <w:rFonts w:ascii="Arial" w:hAnsi="Arial" w:cs="Arial"/>
      <w:b/>
      <w:caps/>
      <w:color w:val="808080"/>
      <w:spacing w:val="40"/>
      <w:sz w:val="24"/>
      <w:szCs w:val="24"/>
    </w:rPr>
  </w:style>
  <w:style w:type="paragraph" w:customStyle="1" w:styleId="Address">
    <w:name w:val="*Address"/>
    <w:uiPriority w:val="3"/>
    <w:qFormat/>
    <w:rsid w:val="00431308"/>
    <w:rPr>
      <w:rFonts w:ascii="Arial" w:hAnsi="Arial" w:cs="Arial"/>
      <w:color w:val="808080"/>
      <w:spacing w:val="5"/>
      <w:sz w:val="22"/>
      <w:szCs w:val="24"/>
    </w:rPr>
  </w:style>
  <w:style w:type="paragraph" w:customStyle="1" w:styleId="LegalText">
    <w:name w:val="*Legal Text"/>
    <w:uiPriority w:val="3"/>
    <w:qFormat/>
    <w:rsid w:val="00431308"/>
    <w:rPr>
      <w:rFonts w:ascii="Arial" w:hAnsi="Arial" w:cs="Arial"/>
      <w:color w:val="808080"/>
      <w:sz w:val="18"/>
      <w:szCs w:val="24"/>
    </w:rPr>
  </w:style>
  <w:style w:type="paragraph" w:customStyle="1" w:styleId="FooterPageNumber">
    <w:name w:val="*Footer Page Number"/>
    <w:basedOn w:val="Footer0"/>
    <w:uiPriority w:val="3"/>
    <w:qFormat/>
    <w:rsid w:val="00030D34"/>
    <w:pPr>
      <w:jc w:val="right"/>
    </w:pPr>
    <w:rPr>
      <w:noProof/>
    </w:rPr>
  </w:style>
  <w:style w:type="paragraph" w:customStyle="1" w:styleId="Numbered1">
    <w:name w:val="*Numbered 1"/>
    <w:basedOn w:val="Bullet1"/>
    <w:uiPriority w:val="3"/>
    <w:qFormat/>
    <w:rsid w:val="00B97B74"/>
    <w:pPr>
      <w:numPr>
        <w:numId w:val="7"/>
      </w:numPr>
      <w:ind w:left="288" w:hanging="288"/>
    </w:pPr>
  </w:style>
  <w:style w:type="paragraph" w:customStyle="1" w:styleId="Numbered2">
    <w:name w:val="*Numbered 2"/>
    <w:basedOn w:val="Bullet2"/>
    <w:uiPriority w:val="3"/>
    <w:qFormat/>
    <w:rsid w:val="00B97B74"/>
    <w:pPr>
      <w:numPr>
        <w:numId w:val="8"/>
      </w:numPr>
      <w:ind w:left="720" w:hanging="432"/>
    </w:pPr>
  </w:style>
  <w:style w:type="paragraph" w:customStyle="1" w:styleId="Numbered3">
    <w:name w:val="*Numbered 3"/>
    <w:basedOn w:val="Bullet3"/>
    <w:uiPriority w:val="3"/>
    <w:qFormat/>
    <w:rsid w:val="00B97B74"/>
    <w:pPr>
      <w:numPr>
        <w:numId w:val="9"/>
      </w:numPr>
      <w:ind w:left="1137" w:hanging="302"/>
    </w:pPr>
  </w:style>
  <w:style w:type="paragraph" w:customStyle="1" w:styleId="ReporttitleHeader">
    <w:name w:val="Report title Header"/>
    <w:link w:val="ReporttitleHeaderChar"/>
    <w:qFormat/>
    <w:rsid w:val="00844C18"/>
    <w:rPr>
      <w:rFonts w:ascii="Arial" w:eastAsiaTheme="minorHAnsi" w:hAnsi="Arial" w:cs="Arial"/>
      <w:b/>
      <w:caps/>
      <w:color w:val="7C848A" w:themeColor="accent5"/>
      <w:spacing w:val="40"/>
      <w:sz w:val="16"/>
      <w:szCs w:val="36"/>
      <w:lang w:val="en-GB"/>
    </w:rPr>
  </w:style>
  <w:style w:type="paragraph" w:customStyle="1" w:styleId="ClientNameHeaderandfooter">
    <w:name w:val="Client Name Header and footer"/>
    <w:link w:val="ClientNameHeaderandfooterChar"/>
    <w:qFormat/>
    <w:rsid w:val="00844C18"/>
    <w:rPr>
      <w:rFonts w:ascii="Arial" w:eastAsiaTheme="minorHAnsi" w:hAnsi="Arial" w:cs="Arial"/>
      <w:caps/>
      <w:color w:val="7C848A" w:themeColor="accent5"/>
      <w:spacing w:val="40"/>
      <w:sz w:val="16"/>
      <w:szCs w:val="36"/>
      <w:lang w:val="en-GB"/>
    </w:rPr>
  </w:style>
  <w:style w:type="character" w:customStyle="1" w:styleId="ReporttitleHeaderChar">
    <w:name w:val="Report title Header Char"/>
    <w:basedOn w:val="DefaultParagraphFont"/>
    <w:link w:val="ReporttitleHeader"/>
    <w:rsid w:val="00A77297"/>
    <w:rPr>
      <w:rFonts w:ascii="Arial" w:eastAsiaTheme="minorHAnsi" w:hAnsi="Arial" w:cs="Arial"/>
      <w:b/>
      <w:caps/>
      <w:color w:val="7C848A" w:themeColor="accent5"/>
      <w:spacing w:val="40"/>
      <w:sz w:val="16"/>
      <w:szCs w:val="36"/>
      <w:lang w:val="en-GB"/>
    </w:rPr>
  </w:style>
  <w:style w:type="character" w:customStyle="1" w:styleId="ClientNameHeaderandfooterChar">
    <w:name w:val="Client Name Header and footer Char"/>
    <w:basedOn w:val="DefaultParagraphFont"/>
    <w:link w:val="ClientNameHeaderandfooter"/>
    <w:rsid w:val="00A77297"/>
    <w:rPr>
      <w:rFonts w:ascii="Arial" w:eastAsiaTheme="minorHAnsi" w:hAnsi="Arial" w:cs="Arial"/>
      <w:caps/>
      <w:color w:val="7C848A" w:themeColor="accent5"/>
      <w:spacing w:val="40"/>
      <w:sz w:val="16"/>
      <w:szCs w:val="36"/>
      <w:lang w:val="en-GB"/>
    </w:rPr>
  </w:style>
  <w:style w:type="paragraph" w:customStyle="1" w:styleId="Question2">
    <w:name w:val="Question 2"/>
    <w:next w:val="Normal"/>
    <w:link w:val="Question2Char"/>
    <w:rsid w:val="00844C18"/>
    <w:pPr>
      <w:spacing w:after="120" w:line="300" w:lineRule="exact"/>
    </w:pPr>
    <w:rPr>
      <w:rFonts w:ascii="Arial" w:eastAsiaTheme="minorHAnsi" w:hAnsi="Arial"/>
      <w:b/>
      <w:color w:val="00A8C8" w:themeColor="accent2"/>
      <w:sz w:val="22"/>
      <w:lang w:val="en-GB"/>
    </w:rPr>
  </w:style>
  <w:style w:type="character" w:customStyle="1" w:styleId="Question2Char">
    <w:name w:val="Question 2 Char"/>
    <w:basedOn w:val="DefaultParagraphFont"/>
    <w:link w:val="Question2"/>
    <w:rsid w:val="00844C18"/>
    <w:rPr>
      <w:rFonts w:ascii="Arial" w:eastAsiaTheme="minorHAnsi" w:hAnsi="Arial"/>
      <w:b/>
      <w:color w:val="00A8C8" w:themeColor="accent2"/>
      <w:sz w:val="22"/>
      <w:lang w:val="en-GB"/>
    </w:rPr>
  </w:style>
  <w:style w:type="paragraph" w:customStyle="1" w:styleId="BulletsLevel1">
    <w:name w:val="Bullets Level 1"/>
    <w:uiPriority w:val="99"/>
    <w:rsid w:val="00844C18"/>
    <w:pPr>
      <w:spacing w:before="40" w:after="40" w:line="300" w:lineRule="exact"/>
    </w:pPr>
    <w:rPr>
      <w:rFonts w:ascii="Arial" w:hAnsi="Arial"/>
      <w:lang w:val="en-GB"/>
    </w:rPr>
  </w:style>
  <w:style w:type="paragraph" w:customStyle="1" w:styleId="Address0">
    <w:name w:val="Address"/>
    <w:basedOn w:val="Normal"/>
    <w:link w:val="AddressChar"/>
    <w:qFormat/>
    <w:rsid w:val="00844C18"/>
    <w:pPr>
      <w:spacing w:after="0" w:line="240" w:lineRule="auto"/>
    </w:pPr>
    <w:rPr>
      <w:rFonts w:cs="Arial"/>
      <w:color w:val="808080"/>
      <w:spacing w:val="5"/>
    </w:rPr>
  </w:style>
  <w:style w:type="character" w:customStyle="1" w:styleId="AddressChar">
    <w:name w:val="Address Char"/>
    <w:basedOn w:val="DefaultParagraphFont"/>
    <w:link w:val="Address0"/>
    <w:rsid w:val="00A77297"/>
    <w:rPr>
      <w:rFonts w:ascii="Arial" w:hAnsi="Arial" w:cs="Arial"/>
      <w:color w:val="808080"/>
      <w:spacing w:val="5"/>
      <w:sz w:val="22"/>
    </w:rPr>
  </w:style>
  <w:style w:type="paragraph" w:styleId="ListParagraph">
    <w:name w:val="List Paragraph"/>
    <w:basedOn w:val="Normal"/>
    <w:link w:val="ListParagraphChar"/>
    <w:uiPriority w:val="34"/>
    <w:qFormat/>
    <w:locked/>
    <w:rsid w:val="009700FB"/>
    <w:pPr>
      <w:ind w:left="720"/>
      <w:contextualSpacing/>
    </w:pPr>
  </w:style>
  <w:style w:type="paragraph" w:customStyle="1" w:styleId="TableLogoText">
    <w:name w:val="Table Logo Text"/>
    <w:basedOn w:val="Normal"/>
    <w:link w:val="TableLogoTextChar"/>
    <w:rsid w:val="00FF6F2F"/>
    <w:pPr>
      <w:spacing w:after="0" w:line="240" w:lineRule="auto"/>
    </w:pPr>
    <w:rPr>
      <w:rFonts w:cs="Arial"/>
      <w:color w:val="auto"/>
      <w:sz w:val="24"/>
    </w:rPr>
  </w:style>
  <w:style w:type="paragraph" w:customStyle="1" w:styleId="AddressBlock">
    <w:name w:val="Address Block"/>
    <w:basedOn w:val="Normal"/>
    <w:link w:val="AddressBlockChar"/>
    <w:rsid w:val="00FF6F2F"/>
    <w:pPr>
      <w:spacing w:after="0" w:line="180" w:lineRule="atLeast"/>
    </w:pPr>
    <w:rPr>
      <w:rFonts w:cs="Arial"/>
      <w:color w:val="auto"/>
      <w:sz w:val="16"/>
    </w:rPr>
  </w:style>
  <w:style w:type="paragraph" w:customStyle="1" w:styleId="Legaltext0">
    <w:name w:val="Legal text"/>
    <w:basedOn w:val="AddressBlock"/>
    <w:link w:val="LegaltextChar"/>
    <w:qFormat/>
    <w:rsid w:val="00FF6F2F"/>
    <w:rPr>
      <w:color w:val="808080"/>
      <w:sz w:val="18"/>
    </w:rPr>
  </w:style>
  <w:style w:type="character" w:customStyle="1" w:styleId="AddressBlockChar">
    <w:name w:val="Address Block Char"/>
    <w:basedOn w:val="DefaultParagraphFont"/>
    <w:link w:val="AddressBlock"/>
    <w:rsid w:val="00FF6F2F"/>
    <w:rPr>
      <w:rFonts w:ascii="Arial" w:hAnsi="Arial" w:cs="Arial"/>
      <w:sz w:val="16"/>
    </w:rPr>
  </w:style>
  <w:style w:type="character" w:customStyle="1" w:styleId="LegaltextChar">
    <w:name w:val="Legal text Char"/>
    <w:basedOn w:val="AddressBlockChar"/>
    <w:link w:val="Legaltext0"/>
    <w:rsid w:val="00FF6F2F"/>
    <w:rPr>
      <w:rFonts w:ascii="Arial" w:hAnsi="Arial" w:cs="Arial"/>
      <w:color w:val="808080"/>
      <w:sz w:val="18"/>
    </w:rPr>
  </w:style>
  <w:style w:type="paragraph" w:customStyle="1" w:styleId="Backcovercompanyname0">
    <w:name w:val="Backcover company name"/>
    <w:basedOn w:val="TableLogoText"/>
    <w:link w:val="BackcovercompanynameChar"/>
    <w:qFormat/>
    <w:rsid w:val="00FF6F2F"/>
    <w:rPr>
      <w:rFonts w:ascii="Arial Bold" w:hAnsi="Arial Bold"/>
      <w:b/>
      <w:color w:val="808080"/>
      <w:spacing w:val="40"/>
    </w:rPr>
  </w:style>
  <w:style w:type="character" w:customStyle="1" w:styleId="TableLogoTextChar">
    <w:name w:val="Table Logo Text Char"/>
    <w:basedOn w:val="DefaultParagraphFont"/>
    <w:link w:val="TableLogoText"/>
    <w:rsid w:val="00FF6F2F"/>
    <w:rPr>
      <w:rFonts w:ascii="Arial" w:hAnsi="Arial" w:cs="Arial"/>
      <w:sz w:val="24"/>
    </w:rPr>
  </w:style>
  <w:style w:type="character" w:customStyle="1" w:styleId="BackcovercompanynameChar">
    <w:name w:val="Backcover company name Char"/>
    <w:basedOn w:val="TableLogoTextChar"/>
    <w:link w:val="Backcovercompanyname0"/>
    <w:rsid w:val="00FF6F2F"/>
    <w:rPr>
      <w:rFonts w:ascii="Arial Bold" w:hAnsi="Arial Bold" w:cs="Arial"/>
      <w:b/>
      <w:color w:val="808080"/>
      <w:spacing w:val="40"/>
      <w:sz w:val="24"/>
    </w:rPr>
  </w:style>
  <w:style w:type="paragraph" w:styleId="BodyText">
    <w:name w:val="Body Text"/>
    <w:basedOn w:val="Normal"/>
    <w:link w:val="BodyTextChar"/>
    <w:locked/>
    <w:rsid w:val="00E2162B"/>
    <w:pPr>
      <w:spacing w:after="0" w:line="240" w:lineRule="auto"/>
      <w:jc w:val="both"/>
    </w:pPr>
    <w:rPr>
      <w:color w:val="auto"/>
      <w:sz w:val="24"/>
      <w:lang w:val="en-GB"/>
    </w:rPr>
  </w:style>
  <w:style w:type="character" w:customStyle="1" w:styleId="BodyTextChar">
    <w:name w:val="Body Text Char"/>
    <w:basedOn w:val="DefaultParagraphFont"/>
    <w:link w:val="BodyText"/>
    <w:rsid w:val="00E2162B"/>
    <w:rPr>
      <w:rFonts w:ascii="Arial" w:hAnsi="Arial"/>
      <w:sz w:val="24"/>
      <w:lang w:val="en-GB"/>
    </w:rPr>
  </w:style>
  <w:style w:type="paragraph" w:styleId="BalloonText">
    <w:name w:val="Balloon Text"/>
    <w:basedOn w:val="Normal"/>
    <w:link w:val="BalloonTextChar"/>
    <w:uiPriority w:val="99"/>
    <w:unhideWhenUsed/>
    <w:locked/>
    <w:rsid w:val="00D26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26E80"/>
    <w:rPr>
      <w:rFonts w:ascii="Tahoma" w:hAnsi="Tahoma" w:cs="Tahoma"/>
      <w:color w:val="7C848A"/>
      <w:sz w:val="16"/>
      <w:szCs w:val="16"/>
    </w:rPr>
  </w:style>
  <w:style w:type="paragraph" w:customStyle="1" w:styleId="Quote">
    <w:name w:val="*Quote"/>
    <w:basedOn w:val="DocumentText"/>
    <w:link w:val="QuoteChar"/>
    <w:qFormat/>
    <w:rsid w:val="0034244D"/>
    <w:pPr>
      <w:pBdr>
        <w:top w:val="single" w:sz="4" w:space="4" w:color="00A8C8" w:themeColor="accent2"/>
        <w:left w:val="single" w:sz="4" w:space="4" w:color="00A8C8" w:themeColor="accent2"/>
        <w:bottom w:val="single" w:sz="4" w:space="4" w:color="00A8C8" w:themeColor="accent2"/>
        <w:right w:val="single" w:sz="4" w:space="4" w:color="00A8C8" w:themeColor="accent2"/>
      </w:pBdr>
      <w:spacing w:before="120" w:after="120" w:line="240" w:lineRule="auto"/>
    </w:pPr>
    <w:rPr>
      <w:rFonts w:ascii="Georgia" w:hAnsi="Georgia"/>
      <w:color w:val="00A8C8" w:themeColor="accent2"/>
      <w:sz w:val="28"/>
      <w:lang w:val="en-GB"/>
    </w:rPr>
  </w:style>
  <w:style w:type="character" w:customStyle="1" w:styleId="DocumentTextChar">
    <w:name w:val="*Document Text Char"/>
    <w:basedOn w:val="DefaultParagraphFont"/>
    <w:link w:val="DocumentText"/>
    <w:rsid w:val="005B3136"/>
    <w:rPr>
      <w:rFonts w:ascii="Arial" w:hAnsi="Arial"/>
      <w:color w:val="7C848A"/>
      <w:sz w:val="22"/>
      <w:szCs w:val="22"/>
    </w:rPr>
  </w:style>
  <w:style w:type="character" w:customStyle="1" w:styleId="QuoteChar">
    <w:name w:val="*Quote Char"/>
    <w:basedOn w:val="DocumentTextChar"/>
    <w:link w:val="Quote"/>
    <w:rsid w:val="0034244D"/>
    <w:rPr>
      <w:rFonts w:ascii="Georgia" w:hAnsi="Georgia"/>
      <w:color w:val="00A8C8" w:themeColor="accent2"/>
      <w:sz w:val="28"/>
      <w:szCs w:val="22"/>
      <w:lang w:val="en-GB"/>
    </w:rPr>
  </w:style>
  <w:style w:type="paragraph" w:customStyle="1" w:styleId="Numberlist">
    <w:name w:val="*Number list"/>
    <w:basedOn w:val="ListParagraph"/>
    <w:link w:val="NumberlistChar"/>
    <w:qFormat/>
    <w:rsid w:val="00075523"/>
    <w:pPr>
      <w:numPr>
        <w:numId w:val="10"/>
      </w:numPr>
      <w:spacing w:before="120" w:after="0"/>
      <w:ind w:left="284" w:hanging="284"/>
    </w:pPr>
    <w:rPr>
      <w:lang w:val="en-GB"/>
    </w:rPr>
  </w:style>
  <w:style w:type="paragraph" w:customStyle="1" w:styleId="TableHeader">
    <w:name w:val="Table Header"/>
    <w:link w:val="TableHeaderChar"/>
    <w:qFormat/>
    <w:rsid w:val="000140AE"/>
    <w:rPr>
      <w:rFonts w:ascii="Arial" w:eastAsiaTheme="minorHAnsi" w:hAnsi="Arial"/>
      <w:b/>
      <w:bCs/>
      <w:color w:val="FFFFFF" w:themeColor="background1"/>
      <w:sz w:val="18"/>
    </w:rPr>
  </w:style>
  <w:style w:type="character" w:customStyle="1" w:styleId="ListParagraphChar">
    <w:name w:val="List Paragraph Char"/>
    <w:basedOn w:val="DefaultParagraphFont"/>
    <w:link w:val="ListParagraph"/>
    <w:uiPriority w:val="34"/>
    <w:semiHidden/>
    <w:rsid w:val="00075523"/>
    <w:rPr>
      <w:rFonts w:ascii="Arial" w:hAnsi="Arial"/>
      <w:color w:val="7C848A"/>
      <w:sz w:val="22"/>
    </w:rPr>
  </w:style>
  <w:style w:type="character" w:customStyle="1" w:styleId="NumberlistChar">
    <w:name w:val="*Number list Char"/>
    <w:basedOn w:val="ListParagraphChar"/>
    <w:link w:val="Numberlist"/>
    <w:rsid w:val="00075523"/>
    <w:rPr>
      <w:rFonts w:ascii="Arial" w:hAnsi="Arial"/>
      <w:color w:val="7C848A"/>
      <w:sz w:val="22"/>
      <w:lang w:val="en-GB"/>
    </w:rPr>
  </w:style>
  <w:style w:type="paragraph" w:customStyle="1" w:styleId="TableHeader2">
    <w:name w:val="Table Header 2"/>
    <w:link w:val="TableHeader2Char"/>
    <w:qFormat/>
    <w:rsid w:val="000140AE"/>
    <w:rPr>
      <w:rFonts w:ascii="Arial Bold" w:eastAsiaTheme="minorHAnsi" w:hAnsi="Arial Bold"/>
      <w:b/>
      <w:bCs/>
      <w:caps/>
      <w:color w:val="7C848A" w:themeColor="accent5"/>
      <w:spacing w:val="40"/>
      <w:sz w:val="18"/>
    </w:rPr>
  </w:style>
  <w:style w:type="character" w:customStyle="1" w:styleId="TableHeaderChar">
    <w:name w:val="Table Header Char"/>
    <w:basedOn w:val="DefaultParagraphFont"/>
    <w:link w:val="TableHeader"/>
    <w:rsid w:val="000140AE"/>
    <w:rPr>
      <w:rFonts w:ascii="Arial" w:eastAsiaTheme="minorHAnsi" w:hAnsi="Arial"/>
      <w:b/>
      <w:bCs/>
      <w:color w:val="FFFFFF" w:themeColor="background1"/>
      <w:sz w:val="18"/>
    </w:rPr>
  </w:style>
  <w:style w:type="paragraph" w:customStyle="1" w:styleId="TableText0">
    <w:name w:val="Table Text"/>
    <w:link w:val="TableTextChar"/>
    <w:qFormat/>
    <w:rsid w:val="000140AE"/>
    <w:rPr>
      <w:rFonts w:ascii="Arial" w:eastAsiaTheme="minorHAnsi" w:hAnsi="Arial"/>
      <w:color w:val="7C848A" w:themeColor="accent5"/>
      <w:sz w:val="18"/>
    </w:rPr>
  </w:style>
  <w:style w:type="character" w:customStyle="1" w:styleId="TableHeader2Char">
    <w:name w:val="Table Header 2 Char"/>
    <w:basedOn w:val="DefaultParagraphFont"/>
    <w:link w:val="TableHeader2"/>
    <w:rsid w:val="000140AE"/>
    <w:rPr>
      <w:rFonts w:ascii="Arial Bold" w:eastAsiaTheme="minorHAnsi" w:hAnsi="Arial Bold"/>
      <w:b/>
      <w:bCs/>
      <w:caps/>
      <w:color w:val="7C848A" w:themeColor="accent5"/>
      <w:spacing w:val="40"/>
      <w:sz w:val="18"/>
    </w:rPr>
  </w:style>
  <w:style w:type="paragraph" w:customStyle="1" w:styleId="TableSubTotals">
    <w:name w:val="Table Sub Totals"/>
    <w:link w:val="TableSubTotalsChar"/>
    <w:qFormat/>
    <w:rsid w:val="000140AE"/>
    <w:rPr>
      <w:rFonts w:ascii="Arial" w:eastAsiaTheme="minorHAnsi" w:hAnsi="Arial"/>
      <w:b/>
      <w:bCs/>
      <w:color w:val="7C848A" w:themeColor="accent5"/>
      <w:sz w:val="18"/>
    </w:rPr>
  </w:style>
  <w:style w:type="character" w:customStyle="1" w:styleId="TableTextChar">
    <w:name w:val="Table Text Char"/>
    <w:basedOn w:val="DefaultParagraphFont"/>
    <w:link w:val="TableText0"/>
    <w:rsid w:val="000140AE"/>
    <w:rPr>
      <w:rFonts w:ascii="Arial" w:eastAsiaTheme="minorHAnsi" w:hAnsi="Arial"/>
      <w:color w:val="7C848A" w:themeColor="accent5"/>
      <w:sz w:val="18"/>
    </w:rPr>
  </w:style>
  <w:style w:type="character" w:customStyle="1" w:styleId="TableSubTotalsChar">
    <w:name w:val="Table Sub Totals Char"/>
    <w:basedOn w:val="DefaultParagraphFont"/>
    <w:link w:val="TableSubTotals"/>
    <w:rsid w:val="000140AE"/>
    <w:rPr>
      <w:rFonts w:ascii="Arial" w:eastAsiaTheme="minorHAnsi" w:hAnsi="Arial"/>
      <w:b/>
      <w:bCs/>
      <w:color w:val="7C848A" w:themeColor="accent5"/>
      <w:sz w:val="18"/>
    </w:rPr>
  </w:style>
  <w:style w:type="character" w:styleId="CommentReference">
    <w:name w:val="annotation reference"/>
    <w:basedOn w:val="DefaultParagraphFont"/>
    <w:uiPriority w:val="99"/>
    <w:semiHidden/>
    <w:unhideWhenUsed/>
    <w:locked/>
    <w:rsid w:val="00C535F3"/>
    <w:rPr>
      <w:sz w:val="16"/>
      <w:szCs w:val="16"/>
    </w:rPr>
  </w:style>
  <w:style w:type="paragraph" w:styleId="CommentText">
    <w:name w:val="annotation text"/>
    <w:basedOn w:val="Normal"/>
    <w:link w:val="CommentTextChar"/>
    <w:uiPriority w:val="99"/>
    <w:semiHidden/>
    <w:unhideWhenUsed/>
    <w:locked/>
    <w:rsid w:val="00C535F3"/>
    <w:pPr>
      <w:spacing w:line="240" w:lineRule="auto"/>
    </w:pPr>
    <w:rPr>
      <w:sz w:val="20"/>
    </w:rPr>
  </w:style>
  <w:style w:type="character" w:customStyle="1" w:styleId="CommentTextChar">
    <w:name w:val="Comment Text Char"/>
    <w:basedOn w:val="DefaultParagraphFont"/>
    <w:link w:val="CommentText"/>
    <w:uiPriority w:val="99"/>
    <w:semiHidden/>
    <w:rsid w:val="00C535F3"/>
    <w:rPr>
      <w:rFonts w:ascii="Arial" w:hAnsi="Arial"/>
      <w:color w:val="7C848A"/>
    </w:rPr>
  </w:style>
  <w:style w:type="paragraph" w:styleId="CommentSubject">
    <w:name w:val="annotation subject"/>
    <w:basedOn w:val="CommentText"/>
    <w:next w:val="CommentText"/>
    <w:link w:val="CommentSubjectChar"/>
    <w:semiHidden/>
    <w:unhideWhenUsed/>
    <w:locked/>
    <w:rsid w:val="00C535F3"/>
    <w:rPr>
      <w:b/>
      <w:bCs/>
    </w:rPr>
  </w:style>
  <w:style w:type="character" w:customStyle="1" w:styleId="CommentSubjectChar">
    <w:name w:val="Comment Subject Char"/>
    <w:basedOn w:val="CommentTextChar"/>
    <w:link w:val="CommentSubject"/>
    <w:semiHidden/>
    <w:rsid w:val="00C535F3"/>
    <w:rPr>
      <w:rFonts w:ascii="Arial" w:hAnsi="Arial"/>
      <w:b/>
      <w:bCs/>
      <w:color w:val="7C848A"/>
    </w:rPr>
  </w:style>
  <w:style w:type="paragraph" w:styleId="Revision">
    <w:name w:val="Revision"/>
    <w:hidden/>
    <w:uiPriority w:val="99"/>
    <w:semiHidden/>
    <w:rsid w:val="00BA0C73"/>
    <w:rPr>
      <w:rFonts w:ascii="Arial" w:hAnsi="Arial"/>
      <w:color w:val="7C848A"/>
      <w:sz w:val="22"/>
    </w:rPr>
  </w:style>
  <w:style w:type="paragraph" w:customStyle="1" w:styleId="OutlineNum2">
    <w:name w:val="Outline Num 2"/>
    <w:basedOn w:val="Normal"/>
    <w:link w:val="OutlineNum2Char1"/>
    <w:rsid w:val="007E77EE"/>
    <w:pPr>
      <w:numPr>
        <w:ilvl w:val="1"/>
        <w:numId w:val="16"/>
      </w:numPr>
      <w:spacing w:line="240" w:lineRule="auto"/>
      <w:outlineLvl w:val="1"/>
    </w:pPr>
    <w:rPr>
      <w:color w:val="auto"/>
      <w:lang w:val="en-GB" w:eastAsia="en-GB"/>
    </w:rPr>
  </w:style>
  <w:style w:type="paragraph" w:customStyle="1" w:styleId="OutlineNum3">
    <w:name w:val="Outline Num 3"/>
    <w:basedOn w:val="Normal"/>
    <w:rsid w:val="007E77EE"/>
    <w:pPr>
      <w:numPr>
        <w:ilvl w:val="2"/>
        <w:numId w:val="16"/>
      </w:numPr>
      <w:spacing w:line="240" w:lineRule="auto"/>
      <w:outlineLvl w:val="2"/>
    </w:pPr>
    <w:rPr>
      <w:color w:val="auto"/>
      <w:lang w:val="en-GB" w:eastAsia="en-GB"/>
    </w:rPr>
  </w:style>
  <w:style w:type="paragraph" w:customStyle="1" w:styleId="TableHeadingText">
    <w:name w:val="Table Heading Text"/>
    <w:basedOn w:val="Normal"/>
    <w:link w:val="TableHeadingTextChar"/>
    <w:rsid w:val="007E77EE"/>
    <w:pPr>
      <w:spacing w:line="240" w:lineRule="auto"/>
      <w:ind w:left="187" w:right="187"/>
    </w:pPr>
    <w:rPr>
      <w:rFonts w:ascii="Arial Black" w:hAnsi="Arial Black"/>
      <w:color w:val="auto"/>
      <w:sz w:val="18"/>
      <w:lang w:val="en-GB" w:eastAsia="en-GB"/>
    </w:rPr>
  </w:style>
  <w:style w:type="character" w:customStyle="1" w:styleId="OutlineNum2Char1">
    <w:name w:val="Outline Num 2 Char1"/>
    <w:basedOn w:val="DefaultParagraphFont"/>
    <w:link w:val="OutlineNum2"/>
    <w:rsid w:val="007E77EE"/>
    <w:rPr>
      <w:rFonts w:ascii="Arial" w:hAnsi="Arial"/>
      <w:sz w:val="22"/>
      <w:lang w:val="en-GB" w:eastAsia="en-GB"/>
    </w:rPr>
  </w:style>
  <w:style w:type="paragraph" w:styleId="NormalWeb">
    <w:name w:val="Normal (Web)"/>
    <w:basedOn w:val="Normal"/>
    <w:uiPriority w:val="99"/>
    <w:semiHidden/>
    <w:unhideWhenUsed/>
    <w:locked/>
    <w:rsid w:val="00067FC5"/>
    <w:pPr>
      <w:spacing w:before="100" w:beforeAutospacing="1" w:after="100" w:afterAutospacing="1" w:line="240" w:lineRule="auto"/>
    </w:pPr>
    <w:rPr>
      <w:rFonts w:ascii="Times New Roman" w:eastAsiaTheme="minorEastAsia" w:hAnsi="Times New Roman"/>
      <w:color w:val="auto"/>
      <w:sz w:val="24"/>
      <w:szCs w:val="24"/>
      <w:lang w:val="en-GB" w:eastAsia="en-GB"/>
    </w:rPr>
  </w:style>
  <w:style w:type="paragraph" w:customStyle="1" w:styleId="BodyIndent">
    <w:name w:val="BodyIndent"/>
    <w:basedOn w:val="Normal"/>
    <w:uiPriority w:val="99"/>
    <w:rsid w:val="002B389F"/>
    <w:pPr>
      <w:widowControl w:val="0"/>
      <w:tabs>
        <w:tab w:val="left" w:pos="567"/>
        <w:tab w:val="left" w:pos="786"/>
      </w:tabs>
      <w:suppressAutoHyphens/>
      <w:autoSpaceDE w:val="0"/>
      <w:autoSpaceDN w:val="0"/>
      <w:adjustRightInd w:val="0"/>
      <w:spacing w:before="120" w:after="0" w:line="320" w:lineRule="atLeast"/>
      <w:ind w:left="567"/>
    </w:pPr>
    <w:rPr>
      <w:rFonts w:ascii="FS Lola" w:eastAsiaTheme="minorEastAsia" w:hAnsi="FS Lola" w:cs="FS Lola"/>
      <w:color w:val="000000"/>
      <w:sz w:val="23"/>
      <w:szCs w:val="23"/>
      <w:lang w:eastAsia="en-GB"/>
    </w:rPr>
  </w:style>
  <w:style w:type="paragraph" w:customStyle="1" w:styleId="Para-1stLevel">
    <w:name w:val="Para - 1st Level"/>
    <w:basedOn w:val="Normal"/>
    <w:rsid w:val="00A75F51"/>
    <w:pPr>
      <w:numPr>
        <w:ilvl w:val="1"/>
        <w:numId w:val="1"/>
      </w:numPr>
      <w:tabs>
        <w:tab w:val="left" w:pos="851"/>
      </w:tabs>
      <w:spacing w:line="240" w:lineRule="auto"/>
      <w:ind w:right="176"/>
    </w:pPr>
    <w:rPr>
      <w:rFonts w:cs="Arial"/>
      <w:color w:val="auto"/>
      <w:szCs w:val="22"/>
      <w:lang w:val="en-GB" w:eastAsia="en-GB"/>
    </w:rPr>
  </w:style>
  <w:style w:type="paragraph" w:customStyle="1" w:styleId="Default">
    <w:name w:val="Default"/>
    <w:rsid w:val="00964DA0"/>
    <w:pPr>
      <w:autoSpaceDE w:val="0"/>
      <w:autoSpaceDN w:val="0"/>
      <w:adjustRightInd w:val="0"/>
    </w:pPr>
    <w:rPr>
      <w:rFonts w:ascii="Verdana" w:hAnsi="Verdana" w:cs="Verdana"/>
      <w:color w:val="000000"/>
      <w:sz w:val="24"/>
      <w:szCs w:val="24"/>
      <w:lang w:val="en-GB" w:eastAsia="en-GB"/>
    </w:rPr>
  </w:style>
  <w:style w:type="character" w:styleId="FollowedHyperlink">
    <w:name w:val="FollowedHyperlink"/>
    <w:basedOn w:val="DefaultParagraphFont"/>
    <w:semiHidden/>
    <w:unhideWhenUsed/>
    <w:locked/>
    <w:rsid w:val="000E312A"/>
    <w:rPr>
      <w:color w:val="808080" w:themeColor="followedHyperlink"/>
      <w:u w:val="single"/>
    </w:rPr>
  </w:style>
  <w:style w:type="character" w:customStyle="1" w:styleId="FooterChar">
    <w:name w:val="Footer Char"/>
    <w:basedOn w:val="DefaultParagraphFont"/>
    <w:link w:val="Footer"/>
    <w:uiPriority w:val="99"/>
    <w:rsid w:val="00031C19"/>
    <w:rPr>
      <w:rFonts w:ascii="Arial" w:hAnsi="Arial"/>
      <w:color w:val="7C848A"/>
      <w:spacing w:val="40"/>
      <w:sz w:val="22"/>
    </w:rPr>
  </w:style>
  <w:style w:type="paragraph" w:styleId="ListBullet">
    <w:name w:val="List Bullet"/>
    <w:basedOn w:val="Normal"/>
    <w:uiPriority w:val="99"/>
    <w:locked/>
    <w:rsid w:val="0007006B"/>
    <w:pPr>
      <w:numPr>
        <w:ilvl w:val="4"/>
        <w:numId w:val="18"/>
      </w:numPr>
      <w:spacing w:after="0" w:line="270" w:lineRule="atLeast"/>
      <w:outlineLvl w:val="4"/>
    </w:pPr>
    <w:rPr>
      <w:rFonts w:cs="Arial"/>
      <w:color w:val="auto"/>
      <w:lang w:val="en-GB"/>
    </w:rPr>
  </w:style>
  <w:style w:type="paragraph" w:styleId="ListBullet2">
    <w:name w:val="List Bullet 2"/>
    <w:basedOn w:val="Normal"/>
    <w:uiPriority w:val="99"/>
    <w:locked/>
    <w:rsid w:val="0007006B"/>
    <w:pPr>
      <w:numPr>
        <w:ilvl w:val="5"/>
        <w:numId w:val="18"/>
      </w:numPr>
      <w:spacing w:after="0" w:line="270" w:lineRule="atLeast"/>
      <w:outlineLvl w:val="5"/>
    </w:pPr>
    <w:rPr>
      <w:rFonts w:cs="Arial"/>
      <w:color w:val="auto"/>
      <w:lang w:val="en-GB"/>
    </w:rPr>
  </w:style>
  <w:style w:type="paragraph" w:styleId="ListBullet3">
    <w:name w:val="List Bullet 3"/>
    <w:basedOn w:val="Normal"/>
    <w:uiPriority w:val="99"/>
    <w:locked/>
    <w:rsid w:val="0007006B"/>
    <w:pPr>
      <w:numPr>
        <w:ilvl w:val="6"/>
        <w:numId w:val="18"/>
      </w:numPr>
      <w:spacing w:after="0" w:line="270" w:lineRule="atLeast"/>
      <w:outlineLvl w:val="6"/>
    </w:pPr>
    <w:rPr>
      <w:rFonts w:cs="Arial"/>
      <w:color w:val="auto"/>
      <w:lang w:val="en-GB"/>
    </w:rPr>
  </w:style>
  <w:style w:type="paragraph" w:styleId="ListBullet4">
    <w:name w:val="List Bullet 4"/>
    <w:basedOn w:val="Normal"/>
    <w:uiPriority w:val="99"/>
    <w:locked/>
    <w:rsid w:val="0007006B"/>
    <w:pPr>
      <w:numPr>
        <w:ilvl w:val="7"/>
        <w:numId w:val="18"/>
      </w:numPr>
      <w:spacing w:after="0" w:line="270" w:lineRule="atLeast"/>
      <w:outlineLvl w:val="7"/>
    </w:pPr>
    <w:rPr>
      <w:rFonts w:cs="Arial"/>
      <w:color w:val="auto"/>
      <w:lang w:val="en-GB"/>
    </w:rPr>
  </w:style>
  <w:style w:type="character" w:customStyle="1" w:styleId="TableHeadingTextChar">
    <w:name w:val="Table Heading Text Char"/>
    <w:basedOn w:val="DefaultParagraphFont"/>
    <w:link w:val="TableHeadingText"/>
    <w:rsid w:val="00D04D1C"/>
    <w:rPr>
      <w:rFonts w:ascii="Arial Black" w:hAnsi="Arial Black"/>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876211">
      <w:bodyDiv w:val="1"/>
      <w:marLeft w:val="0"/>
      <w:marRight w:val="0"/>
      <w:marTop w:val="0"/>
      <w:marBottom w:val="0"/>
      <w:divBdr>
        <w:top w:val="none" w:sz="0" w:space="0" w:color="auto"/>
        <w:left w:val="none" w:sz="0" w:space="0" w:color="auto"/>
        <w:bottom w:val="none" w:sz="0" w:space="0" w:color="auto"/>
        <w:right w:val="none" w:sz="0" w:space="0" w:color="auto"/>
      </w:divBdr>
    </w:div>
    <w:div w:id="1831678615">
      <w:bodyDiv w:val="1"/>
      <w:marLeft w:val="0"/>
      <w:marRight w:val="0"/>
      <w:marTop w:val="0"/>
      <w:marBottom w:val="0"/>
      <w:divBdr>
        <w:top w:val="single" w:sz="18" w:space="15" w:color="003366"/>
        <w:left w:val="none" w:sz="0" w:space="0" w:color="auto"/>
        <w:bottom w:val="none" w:sz="0" w:space="0" w:color="auto"/>
        <w:right w:val="none" w:sz="0" w:space="0" w:color="auto"/>
      </w:divBdr>
      <w:divsChild>
        <w:div w:id="1482186668">
          <w:marLeft w:val="0"/>
          <w:marRight w:val="0"/>
          <w:marTop w:val="0"/>
          <w:marBottom w:val="0"/>
          <w:divBdr>
            <w:top w:val="none" w:sz="0" w:space="0" w:color="auto"/>
            <w:left w:val="none" w:sz="0" w:space="0" w:color="auto"/>
            <w:bottom w:val="none" w:sz="0" w:space="0" w:color="auto"/>
            <w:right w:val="none" w:sz="0" w:space="0" w:color="auto"/>
          </w:divBdr>
          <w:divsChild>
            <w:div w:id="1192231812">
              <w:marLeft w:val="0"/>
              <w:marRight w:val="0"/>
              <w:marTop w:val="0"/>
              <w:marBottom w:val="0"/>
              <w:divBdr>
                <w:top w:val="none" w:sz="0" w:space="0" w:color="auto"/>
                <w:left w:val="none" w:sz="0" w:space="0" w:color="auto"/>
                <w:bottom w:val="none" w:sz="0" w:space="0" w:color="auto"/>
                <w:right w:val="none" w:sz="0" w:space="0" w:color="auto"/>
              </w:divBdr>
              <w:divsChild>
                <w:div w:id="245655044">
                  <w:marLeft w:val="0"/>
                  <w:marRight w:val="0"/>
                  <w:marTop w:val="0"/>
                  <w:marBottom w:val="0"/>
                  <w:divBdr>
                    <w:top w:val="none" w:sz="0" w:space="0" w:color="auto"/>
                    <w:left w:val="none" w:sz="0" w:space="0" w:color="auto"/>
                    <w:bottom w:val="none" w:sz="0" w:space="0" w:color="auto"/>
                    <w:right w:val="none" w:sz="0" w:space="0" w:color="auto"/>
                  </w:divBdr>
                  <w:divsChild>
                    <w:div w:id="1495994449">
                      <w:marLeft w:val="0"/>
                      <w:marRight w:val="0"/>
                      <w:marTop w:val="0"/>
                      <w:marBottom w:val="0"/>
                      <w:divBdr>
                        <w:top w:val="none" w:sz="0" w:space="0" w:color="auto"/>
                        <w:left w:val="none" w:sz="0" w:space="0" w:color="auto"/>
                        <w:bottom w:val="none" w:sz="0" w:space="0" w:color="auto"/>
                        <w:right w:val="none" w:sz="0" w:space="0" w:color="auto"/>
                      </w:divBdr>
                      <w:divsChild>
                        <w:div w:id="3523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516357">
      <w:bodyDiv w:val="1"/>
      <w:marLeft w:val="0"/>
      <w:marRight w:val="0"/>
      <w:marTop w:val="0"/>
      <w:marBottom w:val="0"/>
      <w:divBdr>
        <w:top w:val="none" w:sz="0" w:space="0" w:color="auto"/>
        <w:left w:val="none" w:sz="0" w:space="0" w:color="auto"/>
        <w:bottom w:val="none" w:sz="0" w:space="0" w:color="auto"/>
        <w:right w:val="none" w:sz="0" w:space="0" w:color="auto"/>
      </w:divBdr>
    </w:div>
    <w:div w:id="199506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Mercer">
      <a:dk1>
        <a:srgbClr val="002C77"/>
      </a:dk1>
      <a:lt1>
        <a:srgbClr val="FFFFFF"/>
      </a:lt1>
      <a:dk2>
        <a:srgbClr val="002C77"/>
      </a:dk2>
      <a:lt2>
        <a:srgbClr val="BFBFBF"/>
      </a:lt2>
      <a:accent1>
        <a:srgbClr val="002C77"/>
      </a:accent1>
      <a:accent2>
        <a:srgbClr val="00A8C8"/>
      </a:accent2>
      <a:accent3>
        <a:srgbClr val="006D9E"/>
      </a:accent3>
      <a:accent4>
        <a:srgbClr val="A8E2EF"/>
      </a:accent4>
      <a:accent5>
        <a:srgbClr val="7C848A"/>
      </a:accent5>
      <a:accent6>
        <a:srgbClr val="5A5A5A"/>
      </a:accent6>
      <a:hlink>
        <a:srgbClr val="4D4D4D"/>
      </a:hlink>
      <a:folHlink>
        <a:srgbClr val="808080"/>
      </a:folHlink>
    </a:clrScheme>
    <a:fontScheme name="*Proposal Theme Fonts">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db923d3-2dae-4f59-a8f7-ec97bb8a3e3e">UFEEWPU6MDMY-15-64</_dlc_DocId>
    <_dlc_DocIdUrl xmlns="bdb923d3-2dae-4f59-a8f7-ec97bb8a3e3e">
      <Url>http://sites.mercer.com/sites/Branding/_layouts/DocIdRedir.aspx?ID=UFEEWPU6MDMY-15-64</Url>
      <Description>UFEEWPU6MDMY-15-64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479F380F92C24CB054D9637C6FF373" ma:contentTypeVersion="0" ma:contentTypeDescription="Create a new document." ma:contentTypeScope="" ma:versionID="4a44ce964edf63f138abf2de9102699f">
  <xsd:schema xmlns:xsd="http://www.w3.org/2001/XMLSchema" xmlns:xs="http://www.w3.org/2001/XMLSchema" xmlns:p="http://schemas.microsoft.com/office/2006/metadata/properties" xmlns:ns2="bdb923d3-2dae-4f59-a8f7-ec97bb8a3e3e" targetNamespace="http://schemas.microsoft.com/office/2006/metadata/properties" ma:root="true" ma:fieldsID="e5650a8657da7c8e153a01494a3cc06d" ns2:_="">
    <xsd:import namespace="bdb923d3-2dae-4f59-a8f7-ec97bb8a3e3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923d3-2dae-4f59-a8f7-ec97bb8a3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77B6D-0FC5-459C-A003-B2766FBF03FA}">
  <ds:schemaRefs>
    <ds:schemaRef ds:uri="http://schemas.microsoft.com/sharepoint/events"/>
  </ds:schemaRefs>
</ds:datastoreItem>
</file>

<file path=customXml/itemProps2.xml><?xml version="1.0" encoding="utf-8"?>
<ds:datastoreItem xmlns:ds="http://schemas.openxmlformats.org/officeDocument/2006/customXml" ds:itemID="{1460D222-A4B2-40F0-A3E5-71119A58373F}">
  <ds:schemaRefs>
    <ds:schemaRef ds:uri="http://schemas.microsoft.com/sharepoint/v3/contenttype/forms"/>
  </ds:schemaRefs>
</ds:datastoreItem>
</file>

<file path=customXml/itemProps3.xml><?xml version="1.0" encoding="utf-8"?>
<ds:datastoreItem xmlns:ds="http://schemas.openxmlformats.org/officeDocument/2006/customXml" ds:itemID="{397ACE8E-F907-4BBD-AB49-13FA9246C68E}">
  <ds:schemaRefs>
    <ds:schemaRef ds:uri="http://schemas.microsoft.com/office/2006/metadata/properties"/>
    <ds:schemaRef ds:uri="http://schemas.microsoft.com/office/infopath/2007/PartnerControls"/>
    <ds:schemaRef ds:uri="bdb923d3-2dae-4f59-a8f7-ec97bb8a3e3e"/>
  </ds:schemaRefs>
</ds:datastoreItem>
</file>

<file path=customXml/itemProps4.xml><?xml version="1.0" encoding="utf-8"?>
<ds:datastoreItem xmlns:ds="http://schemas.openxmlformats.org/officeDocument/2006/customXml" ds:itemID="{E57F9887-2BDE-4CD6-B340-455675129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923d3-2dae-4f59-a8f7-ec97bb8a3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0A9148-DE24-4E36-9AD9-824385B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32</Pages>
  <Words>10546</Words>
  <Characters>60115</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Qvidian</Company>
  <LinksUpToDate>false</LinksUpToDate>
  <CharactersWithSpaces>70520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Professional</dc:subject>
  <dc:creator>Rakshys, Jessica</dc:creator>
  <cp:lastModifiedBy>Neville, Mike</cp:lastModifiedBy>
  <cp:revision>41</cp:revision>
  <cp:lastPrinted>2016-12-06T10:23:00Z</cp:lastPrinted>
  <dcterms:created xsi:type="dcterms:W3CDTF">2016-08-22T14:30:00Z</dcterms:created>
  <dcterms:modified xsi:type="dcterms:W3CDTF">2017-03-08T15:05:00Z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0x0101008B479F380F92C24CB054D9637C6FF373</vt:lpwstr>
  </property>
  <property fmtid="{D5CDD505-2E9C-101B-9397-08002B2CF9AE}" pid="3" name="_dlc_DocIdItemGuid">
    <vt:lpwstr>88f66c6d-e00b-422c-89a3-a4347ee33888</vt:lpwstr>
  </property>
  <property fmtid="{D5CDD505-2E9C-101B-9397-08002B2CF9AE}" pid="4" name="_NewReviewCycle">
    <vt:lpwstr/>
  </property>
  <property fmtid="{D5CDD505-2E9C-101B-9397-08002B2CF9AE}" pid="5" name="_AdHocReviewCycleID">
    <vt:i4>186546041</vt:i4>
  </property>
  <property fmtid="{D5CDD505-2E9C-101B-9397-08002B2CF9AE}" pid="6" name="_EmailSubject">
    <vt:lpwstr>Final version of funding strategy statement</vt:lpwstr>
  </property>
  <property fmtid="{D5CDD505-2E9C-101B-9397-08002B2CF9AE}" pid="7" name="_AuthorEmail">
    <vt:lpwstr>John.Livesey@mercer.com</vt:lpwstr>
  </property>
  <property fmtid="{D5CDD505-2E9C-101B-9397-08002B2CF9AE}" pid="8" name="_AuthorEmailDisplayName">
    <vt:lpwstr>Livesey, John</vt:lpwstr>
  </property>
  <property fmtid="{D5CDD505-2E9C-101B-9397-08002B2CF9AE}" pid="9" name="_PreviousAdHocReviewCycleID">
    <vt:i4>2067420545</vt:i4>
  </property>
  <property fmtid="{D5CDD505-2E9C-101B-9397-08002B2CF9AE}" pid="10" name="MPR_DocID">
    <vt:lpwstr>a613064006de45e28ccdae68024da43f</vt:lpwstr>
  </property>
  <property fmtid="{D5CDD505-2E9C-101B-9397-08002B2CF9AE}" pid="11" name="_ReviewingToolsShownOnce">
    <vt:lpwstr/>
  </property>
</Properties>
</file>